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5F" w:rsidRPr="00FE075F" w:rsidRDefault="00FE075F" w:rsidP="00FE075F">
      <w:pPr>
        <w:shd w:val="clear" w:color="auto" w:fill="FFFFFF"/>
        <w:spacing w:beforeAutospacing="1" w:after="100" w:afterAutospacing="1" w:line="240" w:lineRule="atLeast"/>
        <w:jc w:val="center"/>
        <w:outlineLvl w:val="1"/>
        <w:rPr>
          <w:rFonts w:ascii="Open Sans" w:eastAsia="Times New Roman" w:hAnsi="Open Sans" w:cs="Times New Roman"/>
          <w:color w:val="333333"/>
          <w:sz w:val="39"/>
          <w:szCs w:val="39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9"/>
          <w:szCs w:val="39"/>
          <w:lang w:eastAsia="es-ES"/>
        </w:rPr>
        <w:t>PROGRAMA DEL CURSO</w:t>
      </w:r>
    </w:p>
    <w:p w:rsidR="00FE075F" w:rsidRPr="00FE075F" w:rsidRDefault="00FE075F" w:rsidP="00FE075F">
      <w:pPr>
        <w:shd w:val="clear" w:color="auto" w:fill="FFFFFF"/>
        <w:spacing w:beforeAutospacing="1" w:after="100" w:afterAutospacing="1" w:line="240" w:lineRule="atLeas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FFFFFF"/>
          <w:sz w:val="33"/>
          <w:szCs w:val="33"/>
          <w:lang w:eastAsia="es-ES"/>
        </w:rPr>
        <w:t>9.45-10.00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Bienvenida L. Ibáñez / Institucional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10.00-11.00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Conferencia: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 xml:space="preserve">El niño PEG con talla baja. 20 años de tratamiento con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GHrh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.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¿Que hemos aprendido? ¿Qué podemos esperar?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Moderación: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L. Salamanca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Ponente: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Prof. J. Argente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11.00-12.00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Mesa redonda: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Actualización de la problemática del PEG (I). Un continuum en el proceso madurativo: importancia de la nutrición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Moderación: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Dr. J. Bosch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 xml:space="preserve">Desde el embarazo hasta el nacimiento – M. Carmen Medina. Hospital de la Santa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Creu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 xml:space="preserve"> i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Sant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 xml:space="preserve"> Pau, Barcelona 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 xml:space="preserve">Manejo nutricional del recién nacido de bajo peso para su edad gestacional tras el nacimiento. Miguel Sáenz de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Pipaón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, Servicio de Neonatología, Hospital Universitario La Paz, Madrid; Departamento de Pediatría, Universidad Autónoma de Madrid.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12.00-12.30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CAFÉ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12.30-13.30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lastRenderedPageBreak/>
        <w:t>Conferencia: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PEG y calidad de vida. Un futuro por delante.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Estudio CATAPUM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Moderación: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A. de Arriba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Ponente: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JM. Rial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jc w:val="righ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13.30-14.30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CASO CLINICO a DEBATE. PROS y CONTRAS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Moderación: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L. Galán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DISCUSORES: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M. Hawkins – E. Fernández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jc w:val="righ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14.30-15.30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COMIDA de TRABAJO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jc w:val="righ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15.30-16.30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Mesa redonda: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Actualización de la problemática del PEG (II). Pubertad: una etapa clave en la evolución del PEG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Moderación: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Dr. A. López-Bermejo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Epigenética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 xml:space="preserve"> y pubertad – Manuel Tena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Sempere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 xml:space="preserve">. Universidad de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Cordoba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Adrenarquia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 xml:space="preserve">, pubertad y obesidad central: Anita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Hokken</w:t>
      </w:r>
      <w:proofErr w:type="spellEnd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 xml:space="preserve"> – </w:t>
      </w:r>
      <w:proofErr w:type="spellStart"/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Koelega</w:t>
      </w:r>
      <w:proofErr w:type="spellEnd"/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jc w:val="righ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b/>
          <w:bCs/>
          <w:color w:val="333333"/>
          <w:sz w:val="33"/>
          <w:szCs w:val="33"/>
          <w:lang w:eastAsia="es-ES"/>
        </w:rPr>
        <w:t>16.30-17.30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Conferencia extraordinaria: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A través de la cadera de Eva. Una visión evolutiva del niño PEG.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J Enrique Campillo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lastRenderedPageBreak/>
        <w:t>Presenta y modera: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Dr. I. Díez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240" w:lineRule="atLeast"/>
        <w:jc w:val="right"/>
        <w:outlineLvl w:val="2"/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</w:pPr>
      <w:r w:rsidRPr="00FE075F">
        <w:rPr>
          <w:rFonts w:ascii="Open Sans" w:eastAsia="Times New Roman" w:hAnsi="Open Sans" w:cs="Times New Roman"/>
          <w:color w:val="333333"/>
          <w:sz w:val="33"/>
          <w:szCs w:val="33"/>
          <w:lang w:eastAsia="es-ES"/>
        </w:rPr>
        <w:t>17.30</w:t>
      </w:r>
    </w:p>
    <w:p w:rsidR="00FE075F" w:rsidRPr="00FE075F" w:rsidRDefault="00FE075F" w:rsidP="00FE075F">
      <w:pPr>
        <w:shd w:val="clear" w:color="auto" w:fill="FFFFFF"/>
        <w:spacing w:before="100" w:beforeAutospacing="1" w:after="100" w:afterAutospacing="1" w:line="408" w:lineRule="atLeast"/>
        <w:jc w:val="right"/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</w:pP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t>Cierre y conclusiones</w:t>
      </w:r>
      <w:r w:rsidRPr="00FE075F">
        <w:rPr>
          <w:rFonts w:ascii="Open Sans" w:eastAsia="Times New Roman" w:hAnsi="Open Sans" w:cs="Times New Roman"/>
          <w:color w:val="666666"/>
          <w:sz w:val="21"/>
          <w:szCs w:val="21"/>
          <w:lang w:eastAsia="es-ES"/>
        </w:rPr>
        <w:br/>
        <w:t>L. Ibáñez. I. Diez</w:t>
      </w:r>
    </w:p>
    <w:p w:rsidR="001A2297" w:rsidRPr="00FE075F" w:rsidRDefault="001A2297" w:rsidP="00FE075F">
      <w:bookmarkStart w:id="0" w:name="_GoBack"/>
      <w:bookmarkEnd w:id="0"/>
    </w:p>
    <w:sectPr w:rsidR="001A2297" w:rsidRPr="00FE07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5F"/>
    <w:rsid w:val="001A2297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D607A-4A74-4508-BA8F-215F9295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E075F"/>
    <w:pPr>
      <w:spacing w:before="100" w:beforeAutospacing="1" w:after="100" w:afterAutospacing="1" w:line="240" w:lineRule="atLeast"/>
      <w:outlineLvl w:val="1"/>
    </w:pPr>
    <w:rPr>
      <w:rFonts w:ascii="Times New Roman" w:eastAsia="Times New Roman" w:hAnsi="Times New Roman" w:cs="Times New Roman"/>
      <w:color w:val="333333"/>
      <w:sz w:val="39"/>
      <w:szCs w:val="39"/>
      <w:lang w:eastAsia="es-ES"/>
    </w:rPr>
  </w:style>
  <w:style w:type="paragraph" w:styleId="Ttulo3">
    <w:name w:val="heading 3"/>
    <w:basedOn w:val="Normal"/>
    <w:link w:val="Ttulo3Car"/>
    <w:uiPriority w:val="9"/>
    <w:qFormat/>
    <w:rsid w:val="00FE075F"/>
    <w:pPr>
      <w:spacing w:before="100" w:beforeAutospacing="1" w:after="100" w:afterAutospacing="1" w:line="240" w:lineRule="atLeast"/>
      <w:outlineLvl w:val="2"/>
    </w:pPr>
    <w:rPr>
      <w:rFonts w:ascii="Times New Roman" w:eastAsia="Times New Roman" w:hAnsi="Times New Roman" w:cs="Times New Roman"/>
      <w:color w:val="333333"/>
      <w:sz w:val="33"/>
      <w:szCs w:val="3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E075F"/>
    <w:rPr>
      <w:rFonts w:ascii="Times New Roman" w:eastAsia="Times New Roman" w:hAnsi="Times New Roman" w:cs="Times New Roman"/>
      <w:color w:val="333333"/>
      <w:sz w:val="39"/>
      <w:szCs w:val="39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FE075F"/>
    <w:rPr>
      <w:rFonts w:ascii="Times New Roman" w:eastAsia="Times New Roman" w:hAnsi="Times New Roman" w:cs="Times New Roman"/>
      <w:color w:val="333333"/>
      <w:sz w:val="33"/>
      <w:szCs w:val="33"/>
      <w:lang w:eastAsia="es-ES"/>
    </w:rPr>
  </w:style>
  <w:style w:type="character" w:styleId="Textoennegrita">
    <w:name w:val="Strong"/>
    <w:basedOn w:val="Fuentedeprrafopredeter"/>
    <w:uiPriority w:val="22"/>
    <w:qFormat/>
    <w:rsid w:val="00FE07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3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8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1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2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4458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76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15842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94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8083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100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30605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075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149745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20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55104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38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44454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007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15617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084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1442650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514660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453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333333"/>
                                                    <w:left w:val="single" w:sz="2" w:space="0" w:color="333333"/>
                                                    <w:bottom w:val="single" w:sz="2" w:space="0" w:color="333333"/>
                                                    <w:right w:val="single" w:sz="2" w:space="0" w:color="333333"/>
                                                  </w:divBdr>
                                                  <w:divsChild>
                                                    <w:div w:id="83055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784736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9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4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DIEZ LOPEZ</dc:creator>
  <cp:keywords/>
  <dc:description/>
  <cp:lastModifiedBy>IGNACIO DIEZ LOPEZ</cp:lastModifiedBy>
  <cp:revision>1</cp:revision>
  <dcterms:created xsi:type="dcterms:W3CDTF">2022-09-29T07:56:00Z</dcterms:created>
  <dcterms:modified xsi:type="dcterms:W3CDTF">2022-09-29T07:57:00Z</dcterms:modified>
</cp:coreProperties>
</file>