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3">
      <w:pPr>
        <w:spacing w:line="276" w:lineRule="auto"/>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La Sociedad Española de Medicina de la Adolescencia (SEMA) y el Comité de Promoción de la Salud de la Asociación Española de Pediatría (CPS-AEP) detectan un aumento de casos en consulta</w:t>
      </w:r>
    </w:p>
    <w:p w:rsidR="00000000" w:rsidDel="00000000" w:rsidP="00000000" w:rsidRDefault="00000000" w:rsidRPr="00000000" w14:paraId="00000004">
      <w:pPr>
        <w:spacing w:line="276"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ind w:left="720" w:firstLine="0"/>
        <w:jc w:val="center"/>
        <w:rPr>
          <w:rFonts w:ascii="Calibri" w:cs="Calibri" w:eastAsia="Calibri" w:hAnsi="Calibri"/>
          <w:b w:val="1"/>
          <w:color w:val="00aeef"/>
          <w:sz w:val="40"/>
          <w:szCs w:val="40"/>
        </w:rPr>
      </w:pPr>
      <w:r w:rsidDel="00000000" w:rsidR="00000000" w:rsidRPr="00000000">
        <w:rPr>
          <w:rFonts w:ascii="Calibri" w:cs="Calibri" w:eastAsia="Calibri" w:hAnsi="Calibri"/>
          <w:b w:val="1"/>
          <w:color w:val="00aeef"/>
          <w:sz w:val="40"/>
          <w:szCs w:val="40"/>
          <w:rtl w:val="0"/>
        </w:rPr>
        <w:t xml:space="preserve">Los pediatras alertan sobre los riesgos de los chats en la plataforma Roblox: incitación a autolesiones, contenido sexual y cambios graves de conducta</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ind w:left="720" w:firstLine="0"/>
        <w:jc w:val="center"/>
        <w:rPr>
          <w:rFonts w:ascii="Calibri" w:cs="Calibri" w:eastAsia="Calibri" w:hAnsi="Calibri"/>
          <w:b w:val="1"/>
          <w:color w:val="00aeef"/>
          <w:sz w:val="40"/>
          <w:szCs w:val="40"/>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4366"/>
        </w:rPr>
      </w:pPr>
      <w:bookmarkStart w:colFirst="0" w:colLast="0" w:name="_heading=h.3znysh7" w:id="0"/>
      <w:bookmarkEnd w:id="0"/>
      <w:r w:rsidDel="00000000" w:rsidR="00000000" w:rsidRPr="00000000">
        <w:rPr>
          <w:rFonts w:ascii="Calibri" w:cs="Calibri" w:eastAsia="Calibri" w:hAnsi="Calibri"/>
          <w:b w:val="1"/>
          <w:color w:val="004366"/>
          <w:rtl w:val="0"/>
        </w:rPr>
        <w:t xml:space="preserve">Las interacciones a través de esta plataforma de videojuegos en línea exponen a niños y adolescentes a situaciones de alto riesgo.</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280" w:before="280" w:line="276" w:lineRule="auto"/>
        <w:ind w:left="720" w:hanging="360"/>
        <w:jc w:val="both"/>
        <w:rPr>
          <w:rFonts w:ascii="Calibri" w:cs="Calibri" w:eastAsia="Calibri" w:hAnsi="Calibri"/>
          <w:color w:val="222222"/>
          <w:sz w:val="22"/>
          <w:szCs w:val="22"/>
        </w:rPr>
      </w:pPr>
      <w:r w:rsidDel="00000000" w:rsidR="00000000" w:rsidRPr="00000000">
        <w:rPr>
          <w:rFonts w:ascii="Calibri" w:cs="Calibri" w:eastAsia="Calibri" w:hAnsi="Calibri"/>
          <w:b w:val="1"/>
          <w:color w:val="004366"/>
          <w:rtl w:val="0"/>
        </w:rPr>
        <w:t xml:space="preserve">Los profesionales instan a familias, educadores y sanitarios a trasladar esta información y ante la sospecha acudir a la consulta del pediatra.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80" w:before="280" w:line="276" w:lineRule="auto"/>
        <w:jc w:val="both"/>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Madrid, 22 de septiembre de 2025.</w:t>
      </w:r>
      <w:r w:rsidDel="00000000" w:rsidR="00000000" w:rsidRPr="00000000">
        <w:rPr>
          <w:rFonts w:ascii="Calibri" w:cs="Calibri" w:eastAsia="Calibri" w:hAnsi="Calibri"/>
          <w:color w:val="222222"/>
          <w:sz w:val="22"/>
          <w:szCs w:val="22"/>
          <w:rtl w:val="0"/>
        </w:rPr>
        <w:t xml:space="preserve">_ La Sociedad Española de Medicina de la Adolescencia (SEMA) y Comité de Promoción de la Salud de la </w:t>
      </w:r>
      <w:hyperlink r:id="rId7">
        <w:r w:rsidDel="00000000" w:rsidR="00000000" w:rsidRPr="00000000">
          <w:rPr>
            <w:rFonts w:ascii="Calibri" w:cs="Calibri" w:eastAsia="Calibri" w:hAnsi="Calibri"/>
            <w:color w:val="0000ff"/>
            <w:sz w:val="22"/>
            <w:szCs w:val="22"/>
            <w:u w:val="single"/>
            <w:rtl w:val="0"/>
          </w:rPr>
          <w:t xml:space="preserve">Asociación Española de Pediatría</w:t>
        </w:r>
      </w:hyperlink>
      <w:r w:rsidDel="00000000" w:rsidR="00000000" w:rsidRPr="00000000">
        <w:rPr>
          <w:rFonts w:ascii="Calibri" w:cs="Calibri" w:eastAsia="Calibri" w:hAnsi="Calibri"/>
          <w:color w:val="222222"/>
          <w:sz w:val="22"/>
          <w:szCs w:val="22"/>
          <w:rtl w:val="0"/>
        </w:rPr>
        <w:t xml:space="preserve"> (CPS-AEP) han emitido una alerta tras detectar en consulta un incremento casos de niños y adolescentes que presentan “síntomas preocupantes” relacionados con el uso de la plataforma de videojuegos Roblox, en concreto por su función de chat y las interacciones que se generan a través de ella. La alerta señala que a las consultas pediátricas están llegando menores con síntomas compatibles con una exposición nociva al entorno digital: autolesiones, ansiedad, alteraciones del sueño, cambios de humor bruscos o retraimiento social.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80" w:before="280" w:lineRule="auto"/>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i w:val="1"/>
          <w:color w:val="222222"/>
          <w:sz w:val="22"/>
          <w:szCs w:val="22"/>
          <w:rtl w:val="0"/>
        </w:rPr>
        <w:t xml:space="preserve">Los pediatras estamos detectando graves riesgos para la integridad de la infancia y la adolescencia que impactan directamente sobre la salud física y mental al ser incitados en los chats a autolesionarse, visionar pornografía, cuestionar su identidad sexual o enviar imágenes de violencia sexual infantil o pornografía. Acuden los padres a consulta alertados por ver las autolesiones o el cambio en el estado de ánimo y el comportamiento de sus hijos</w:t>
      </w:r>
      <w:r w:rsidDel="00000000" w:rsidR="00000000" w:rsidRPr="00000000">
        <w:rPr>
          <w:rFonts w:ascii="Calibri" w:cs="Calibri" w:eastAsia="Calibri" w:hAnsi="Calibri"/>
          <w:color w:val="222222"/>
          <w:sz w:val="22"/>
          <w:szCs w:val="22"/>
          <w:rtl w:val="0"/>
        </w:rPr>
        <w:t xml:space="preserve">”, explica la doctora </w:t>
      </w:r>
      <w:r w:rsidDel="00000000" w:rsidR="00000000" w:rsidRPr="00000000">
        <w:rPr>
          <w:rFonts w:ascii="Calibri" w:cs="Calibri" w:eastAsia="Calibri" w:hAnsi="Calibri"/>
          <w:b w:val="1"/>
          <w:color w:val="222222"/>
          <w:sz w:val="22"/>
          <w:szCs w:val="22"/>
          <w:rtl w:val="0"/>
        </w:rPr>
        <w:t xml:space="preserve">Mª Angustias Salmerón</w:t>
      </w:r>
      <w:r w:rsidDel="00000000" w:rsidR="00000000" w:rsidRPr="00000000">
        <w:rPr>
          <w:rFonts w:ascii="Calibri" w:cs="Calibri" w:eastAsia="Calibri" w:hAnsi="Calibri"/>
          <w:color w:val="222222"/>
          <w:sz w:val="22"/>
          <w:szCs w:val="22"/>
          <w:rtl w:val="0"/>
        </w:rPr>
        <w:t xml:space="preserve">, presidenta de la SEMA y miembro del grupo de Salud Digital del CPS-AEP.</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80" w:before="280" w:lineRule="auto"/>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Roblox es una plataforma de videojuegos online muy popular entre menores. Permite a los usuarios jugar y desarrollar sus propios juegos, e incluye una función de chat que permite la comunicación entre jugadores. Aunque se desconoce si todos los riesgos identificados se producen dentro del propio entorno oficial de Roblox o en entornos externos que simulan su diseño, los patrones de conducta observados justifican la preocupación del uso de esta plataforma.</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80" w:before="280" w:lineRule="auto"/>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Las familias han reportado que sus hijos presentan autolesiones visibles, cambios significativos en el comportamiento, ansiedad, insomnio, retraimiento social, comentarios o actitudes inusuales sobre sexualidad, identidad o violencia.</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80" w:before="280" w:lineRule="auto"/>
        <w:jc w:val="both"/>
        <w:rPr>
          <w:rFonts w:ascii="Calibri" w:cs="Calibri" w:eastAsia="Calibri" w:hAnsi="Calibri"/>
          <w:b w:val="1"/>
          <w:color w:val="004366"/>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80" w:before="280" w:lineRule="auto"/>
        <w:jc w:val="both"/>
        <w:rPr>
          <w:rFonts w:ascii="Calibri" w:cs="Calibri" w:eastAsia="Calibri" w:hAnsi="Calibri"/>
          <w:b w:val="1"/>
          <w:color w:val="004366"/>
          <w:sz w:val="22"/>
          <w:szCs w:val="22"/>
        </w:rPr>
      </w:pPr>
      <w:r w:rsidDel="00000000" w:rsidR="00000000" w:rsidRPr="00000000">
        <w:rPr>
          <w:rFonts w:ascii="Calibri" w:cs="Calibri" w:eastAsia="Calibri" w:hAnsi="Calibri"/>
          <w:b w:val="1"/>
          <w:color w:val="004366"/>
          <w:sz w:val="22"/>
          <w:szCs w:val="22"/>
          <w:rtl w:val="0"/>
        </w:rPr>
        <w:t xml:space="preserve">Recomendaciones a familias y pediatras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80" w:before="280" w:lineRule="auto"/>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Los expertos subrayan la importancia de abordar proactivamente este tipo de riesgos en consulta. La vigilancia activa, tanto desde el ámbito clínico como familiar, es esencial para prevenir daños psicológicos y físicos en la infancia y adolescencia.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80" w:before="280" w:lineRule="auto"/>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Desde el grupo de Salud Digital del CSP-AEP y la SEMA se pide a las familias revisar si sus hijos utilizan Roblox y comprobar si participan en chats dentro de la plataforma, así como hablar abiertamente con los menores sobre los riesgos de comunicarse con desconocidos.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80" w:before="280" w:lineRule="auto"/>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Igualmente, se aconseja fomentar un entorno de confianza para que puedan expresar malestar o experiencias incómodas y, en caso de cualquier sospecha, acudir al pediatra.</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80" w:before="280" w:lineRule="auto"/>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Si se detecta un caso, la recomendación es presentar una denuncia a la policía o guardia civil y comunicar la situación a la </w:t>
      </w:r>
      <w:hyperlink r:id="rId8">
        <w:r w:rsidDel="00000000" w:rsidR="00000000" w:rsidRPr="00000000">
          <w:rPr>
            <w:rFonts w:ascii="Calibri" w:cs="Calibri" w:eastAsia="Calibri" w:hAnsi="Calibri"/>
            <w:color w:val="0000ff"/>
            <w:sz w:val="22"/>
            <w:szCs w:val="22"/>
            <w:u w:val="single"/>
            <w:rtl w:val="0"/>
          </w:rPr>
          <w:t xml:space="preserve">Agencia Española de Protección de Datos</w:t>
        </w:r>
      </w:hyperlink>
      <w:r w:rsidDel="00000000" w:rsidR="00000000" w:rsidRPr="00000000">
        <w:rPr>
          <w:rFonts w:ascii="Calibri" w:cs="Calibri" w:eastAsia="Calibri" w:hAnsi="Calibri"/>
          <w:color w:val="222222"/>
          <w:sz w:val="22"/>
          <w:szCs w:val="22"/>
          <w:rtl w:val="0"/>
        </w:rPr>
        <w:t xml:space="preserve"> aportando imágenes de los chats.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80" w:before="280" w:lineRule="auto"/>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Por otra parte, la alerta recomienda a los pediatras preguntar específicamente sobre el uso de Roblox y sus chats, incluso si el motivo de la consulta es otro. Si se detecta un caso sospechoso, se deben activar los </w:t>
      </w:r>
      <w:hyperlink r:id="rId9">
        <w:r w:rsidDel="00000000" w:rsidR="00000000" w:rsidRPr="00000000">
          <w:rPr>
            <w:rFonts w:ascii="Calibri" w:cs="Calibri" w:eastAsia="Calibri" w:hAnsi="Calibri"/>
            <w:color w:val="0000ff"/>
            <w:sz w:val="22"/>
            <w:szCs w:val="22"/>
            <w:u w:val="single"/>
            <w:rtl w:val="0"/>
          </w:rPr>
          <w:t xml:space="preserve">protocolos de detección y notificación ya establecidos</w:t>
        </w:r>
      </w:hyperlink>
      <w:r w:rsidDel="00000000" w:rsidR="00000000" w:rsidRPr="00000000">
        <w:rPr>
          <w:rFonts w:ascii="Calibri" w:cs="Calibri" w:eastAsia="Calibri" w:hAnsi="Calibri"/>
          <w:color w:val="222222"/>
          <w:sz w:val="22"/>
          <w:szCs w:val="22"/>
          <w:rtl w:val="0"/>
        </w:rPr>
        <w:t xml:space="preserve">: redacción de informe médico, derivación a trabajo social, parte de lesiones y acompañamiento en la denuncia ante las autoridades.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80" w:before="280" w:lineRule="auto"/>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4366"/>
          <w:sz w:val="22"/>
          <w:szCs w:val="22"/>
        </w:rPr>
      </w:pPr>
      <w:r w:rsidDel="00000000" w:rsidR="00000000" w:rsidRPr="00000000">
        <w:rPr>
          <w:rFonts w:ascii="Calibri" w:cs="Calibri" w:eastAsia="Calibri" w:hAnsi="Calibri"/>
          <w:b w:val="1"/>
          <w:color w:val="004366"/>
          <w:sz w:val="18"/>
          <w:szCs w:val="18"/>
          <w:rtl w:val="0"/>
        </w:rPr>
        <w:t xml:space="preserve">Sobre la Asociación Española de Pediatría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La Asociación Española de Pediatría es una sociedad científica que representa a cerca de 13.000 pediatras que trabajan tanto en el ámbito hospitalario como de atención primaria. Está integrada por todas las sociedades científicas de pediatría regionales y las sociedades de pediatría de las distintas especialidades. El principal objetivo de la asociación es velar por la adecuada atención sanitaria, fomentar el desarrollo de la especialidad, tanto en sus aspectos asistenciales como en los docentes y de investigación, además de asesorar a todas aquellas instituciones competentes en asuntos que puedan afectar o afecten a la salud, desarrollo e integridad del niño y del adolescente, así como divulgar e informar a la población sobre cuestiones de salud infantil.</w:t>
      </w:r>
    </w:p>
    <w:sectPr>
      <w:headerReference r:id="rId10" w:type="default"/>
      <w:footerReference r:id="rId11" w:type="default"/>
      <w:footerReference r:id="rId12" w:type="even"/>
      <w:pgSz w:h="16840" w:w="11900" w:orient="portrait"/>
      <w:pgMar w:bottom="1418" w:top="1695" w:left="1134" w:right="1126" w:header="567" w:footer="2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Times New Roman"/>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pBdr>
        <w:top w:color="000000" w:space="1" w:sz="4" w:val="single"/>
      </w:pBdr>
      <w:tabs>
        <w:tab w:val="right" w:leader="none" w:pos="8730"/>
      </w:tabs>
      <w:ind w:right="360"/>
      <w:rPr>
        <w:rFonts w:ascii="Calibri" w:cs="Calibri" w:eastAsia="Calibri" w:hAnsi="Calibri"/>
        <w:color w:val="004366"/>
        <w:sz w:val="18"/>
        <w:szCs w:val="18"/>
      </w:rPr>
    </w:pPr>
    <w:r w:rsidDel="00000000" w:rsidR="00000000" w:rsidRPr="00000000">
      <w:rPr>
        <w:rFonts w:ascii="Calibri" w:cs="Calibri" w:eastAsia="Calibri" w:hAnsi="Calibri"/>
        <w:b w:val="1"/>
        <w:color w:val="004366"/>
        <w:sz w:val="18"/>
        <w:szCs w:val="18"/>
        <w:rtl w:val="0"/>
      </w:rPr>
      <w:t xml:space="preserve">*Para más información. Gabinete de prensa de la AEP</w:t>
      <w:tab/>
    </w:r>
    <w:r w:rsidDel="00000000" w:rsidR="00000000" w:rsidRPr="00000000">
      <w:rPr>
        <w:rtl w:val="0"/>
      </w:rPr>
    </w:r>
  </w:p>
  <w:p w:rsidR="00000000" w:rsidDel="00000000" w:rsidP="00000000" w:rsidRDefault="00000000" w:rsidRPr="00000000" w14:paraId="0000001C">
    <w:pPr>
      <w:rPr/>
    </w:pPr>
    <w:r w:rsidDel="00000000" w:rsidR="00000000" w:rsidRPr="00000000">
      <w:rPr>
        <w:rFonts w:ascii="Calibri" w:cs="Calibri" w:eastAsia="Calibri" w:hAnsi="Calibri"/>
        <w:b w:val="1"/>
        <w:sz w:val="18"/>
        <w:szCs w:val="18"/>
        <w:rtl w:val="0"/>
      </w:rPr>
      <w:t xml:space="preserve">Eva Sahis</w:t>
    </w:r>
    <w:r w:rsidDel="00000000" w:rsidR="00000000" w:rsidRPr="00000000">
      <w:rPr>
        <w:rFonts w:ascii="Calibri" w:cs="Calibri" w:eastAsia="Calibri" w:hAnsi="Calibri"/>
        <w:sz w:val="18"/>
        <w:szCs w:val="18"/>
        <w:rtl w:val="0"/>
      </w:rPr>
      <w:t xml:space="preserve"> </w:t>
    </w:r>
    <w:r w:rsidDel="00000000" w:rsidR="00000000" w:rsidRPr="00000000">
      <w:rPr>
        <w:rFonts w:ascii="Arial" w:cs="Arial" w:eastAsia="Arial" w:hAnsi="Arial"/>
        <w:sz w:val="21"/>
        <w:szCs w:val="21"/>
        <w:rtl w:val="0"/>
      </w:rPr>
      <w:br w:type="textWrapping"/>
    </w:r>
    <w:r w:rsidDel="00000000" w:rsidR="00000000" w:rsidRPr="00000000">
      <w:rPr>
        <w:rFonts w:ascii="Calibri" w:cs="Calibri" w:eastAsia="Calibri" w:hAnsi="Calibri"/>
        <w:sz w:val="18"/>
        <w:szCs w:val="18"/>
        <w:highlight w:val="white"/>
        <w:rtl w:val="0"/>
      </w:rPr>
      <w:t xml:space="preserve">Tel.: 636 395 724</w:t>
      <w:tab/>
      <w:tab/>
      <w:tab/>
      <w:tab/>
      <w:tab/>
      <w:tab/>
      <w:tab/>
    </w:r>
    <w:r w:rsidDel="00000000" w:rsidR="00000000" w:rsidRPr="00000000">
      <w:rPr>
        <w:rFonts w:ascii="Calibri" w:cs="Calibri" w:eastAsia="Calibri" w:hAnsi="Calibri"/>
        <w:sz w:val="18"/>
        <w:szCs w:val="18"/>
        <w:rtl w:val="0"/>
      </w:rPr>
      <w:t xml:space="preserve">                                            </w:t>
    </w:r>
    <w:hyperlink r:id="rId1">
      <w:r w:rsidDel="00000000" w:rsidR="00000000" w:rsidRPr="00000000">
        <w:rPr>
          <w:rFonts w:ascii="Calibri" w:cs="Calibri" w:eastAsia="Calibri" w:hAnsi="Calibri"/>
          <w:b w:val="1"/>
          <w:color w:val="00aeef"/>
          <w:sz w:val="18"/>
          <w:szCs w:val="18"/>
          <w:u w:val="single"/>
          <w:rtl w:val="0"/>
        </w:rPr>
        <w:t xml:space="preserve">www.aeped.es</w:t>
      </w:r>
    </w:hyperlink>
    <w:r w:rsidDel="00000000" w:rsidR="00000000" w:rsidRPr="00000000">
      <w:rPr>
        <w:rFonts w:ascii="Calibri" w:cs="Calibri" w:eastAsia="Calibri" w:hAnsi="Calibri"/>
        <w:b w:val="1"/>
        <w:color w:val="00aeef"/>
        <w:sz w:val="18"/>
        <w:szCs w:val="18"/>
        <w:rtl w:val="0"/>
      </w:rPr>
      <w:t xml:space="preserve"> </w:t>
    </w:r>
    <w:r w:rsidDel="00000000" w:rsidR="00000000" w:rsidRPr="00000000">
      <w:rPr>
        <w:rFonts w:ascii="Calibri" w:cs="Calibri" w:eastAsia="Calibri" w:hAnsi="Calibri"/>
        <w:sz w:val="18"/>
        <w:szCs w:val="18"/>
        <w:rtl w:val="0"/>
      </w:rPr>
      <w:br w:type="textWrapping"/>
    </w:r>
    <w:r w:rsidDel="00000000" w:rsidR="00000000" w:rsidRPr="00000000">
      <w:rPr>
        <w:rFonts w:ascii="Calibri" w:cs="Calibri" w:eastAsia="Calibri" w:hAnsi="Calibri"/>
        <w:sz w:val="18"/>
        <w:szCs w:val="18"/>
        <w:highlight w:val="white"/>
        <w:rtl w:val="0"/>
      </w:rPr>
      <w:t xml:space="preserve">Email: </w:t>
    </w:r>
    <w:hyperlink r:id="rId2">
      <w:r w:rsidDel="00000000" w:rsidR="00000000" w:rsidRPr="00000000">
        <w:rPr>
          <w:rFonts w:ascii="Calibri" w:cs="Calibri" w:eastAsia="Calibri" w:hAnsi="Calibri"/>
          <w:color w:val="00aeef"/>
          <w:sz w:val="18"/>
          <w:szCs w:val="18"/>
          <w:highlight w:val="white"/>
          <w:u w:val="single"/>
          <w:rtl w:val="0"/>
        </w:rPr>
        <w:t xml:space="preserve">eva.sahis@commstribe.com</w:t>
      </w:r>
    </w:hyperlink>
    <w:r w:rsidDel="00000000" w:rsidR="00000000" w:rsidRPr="00000000">
      <w:rPr>
        <w:rFonts w:ascii="Calibri" w:cs="Calibri" w:eastAsia="Calibri" w:hAnsi="Calibri"/>
        <w:color w:val="205968"/>
        <w:sz w:val="18"/>
        <w:szCs w:val="18"/>
        <w:rtl w:val="0"/>
      </w:rPr>
      <w:tab/>
    </w:r>
    <w:r w:rsidDel="00000000" w:rsidR="00000000" w:rsidRPr="00000000">
      <w:rPr>
        <w:rFonts w:ascii="Calibri" w:cs="Calibri" w:eastAsia="Calibri" w:hAnsi="Calibri"/>
        <w:sz w:val="18"/>
        <w:szCs w:val="18"/>
        <w:rtl w:val="0"/>
      </w:rPr>
      <w:tab/>
      <w:tab/>
      <w:tab/>
      <w:t xml:space="preserve">                                                              </w:t>
    </w:r>
    <w:hyperlink r:id="rId3">
      <w:r w:rsidDel="00000000" w:rsidR="00000000" w:rsidRPr="00000000">
        <w:rPr>
          <w:rFonts w:ascii="Calibri" w:cs="Calibri" w:eastAsia="Calibri" w:hAnsi="Calibri"/>
          <w:color w:val="00aeef"/>
          <w:sz w:val="18"/>
          <w:szCs w:val="18"/>
          <w:u w:val="single"/>
          <w:rtl w:val="0"/>
        </w:rPr>
        <w:t xml:space="preserve">@aepediatria</w:t>
      </w:r>
    </w:hyperlink>
    <w:r w:rsidDel="00000000" w:rsidR="00000000" w:rsidRPr="00000000">
      <w:rPr>
        <w:rFonts w:ascii="Calibri" w:cs="Calibri" w:eastAsia="Calibri" w:hAnsi="Calibri"/>
        <w:color w:val="00aeef"/>
        <w:sz w:val="18"/>
        <w:szCs w:val="18"/>
        <w:rtl w:val="0"/>
      </w:rPr>
      <w:tab/>
    </w:r>
    <w:r w:rsidDel="00000000" w:rsidR="00000000" w:rsidRPr="00000000">
      <w:rPr>
        <w:rFonts w:ascii="Calibri" w:cs="Calibri" w:eastAsia="Calibri" w:hAnsi="Calibri"/>
        <w:sz w:val="18"/>
        <w:szCs w:val="18"/>
        <w:rtl w:val="0"/>
      </w:rPr>
      <w:tab/>
      <w:tab/>
      <w:tab/>
      <w:tab/>
      <w:tab/>
      <w:tab/>
      <w:tab/>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tabs>
        <w:tab w:val="left" w:leader="none" w:pos="1965"/>
      </w:tabs>
      <w:rPr>
        <w:rFonts w:ascii="Tahoma" w:cs="Tahoma" w:eastAsia="Tahoma" w:hAnsi="Tahoma"/>
        <w:color w:val="000000"/>
        <w:sz w:val="22"/>
        <w:szCs w:val="22"/>
      </w:rPr>
    </w:pPr>
    <w:r w:rsidDel="00000000" w:rsidR="00000000" w:rsidRPr="00000000">
      <w:rPr/>
      <w:drawing>
        <wp:inline distB="0" distT="0" distL="0" distR="0">
          <wp:extent cx="2189264" cy="422215"/>
          <wp:effectExtent b="0" l="0" r="0" t="0"/>
          <wp:docPr descr="A grey and white logo&#10;&#10;AI-generated content may be incorrect." id="1496038451" name="image2.jpg"/>
          <a:graphic>
            <a:graphicData uri="http://schemas.openxmlformats.org/drawingml/2006/picture">
              <pic:pic>
                <pic:nvPicPr>
                  <pic:cNvPr descr="A grey and white logo&#10;&#10;AI-generated content may be incorrect." id="0" name="image2.jpg"/>
                  <pic:cNvPicPr preferRelativeResize="0"/>
                </pic:nvPicPr>
                <pic:blipFill>
                  <a:blip r:embed="rId1"/>
                  <a:srcRect b="0" l="0" r="0" t="0"/>
                  <a:stretch>
                    <a:fillRect/>
                  </a:stretch>
                </pic:blipFill>
                <pic:spPr>
                  <a:xfrm>
                    <a:off x="0" y="0"/>
                    <a:ext cx="2189264" cy="422215"/>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2995600" cy="632187"/>
          <wp:effectExtent b="0" l="0" r="0" t="0"/>
          <wp:docPr descr="A close-up of a logo&#10;&#10;AI-generated content may be incorrect." id="1496038452" name="image1.png"/>
          <a:graphic>
            <a:graphicData uri="http://schemas.openxmlformats.org/drawingml/2006/picture">
              <pic:pic>
                <pic:nvPicPr>
                  <pic:cNvPr descr="A close-up of a logo&#10;&#10;AI-generated content may be incorrect." id="0" name="image1.png"/>
                  <pic:cNvPicPr preferRelativeResize="0"/>
                </pic:nvPicPr>
                <pic:blipFill>
                  <a:blip r:embed="rId2"/>
                  <a:srcRect b="17568" l="0" r="0" t="0"/>
                  <a:stretch>
                    <a:fillRect/>
                  </a:stretch>
                </pic:blipFill>
                <pic:spPr>
                  <a:xfrm>
                    <a:off x="0" y="0"/>
                    <a:ext cx="2995600" cy="63218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DF1691"/>
    <w:pPr>
      <w:ind w:left="720"/>
      <w:contextualSpacing w:val="1"/>
    </w:pPr>
  </w:style>
  <w:style w:type="paragraph" w:styleId="Header">
    <w:name w:val="header"/>
    <w:basedOn w:val="Normal"/>
    <w:link w:val="HeaderChar"/>
    <w:uiPriority w:val="99"/>
    <w:unhideWhenUsed w:val="1"/>
    <w:rsid w:val="00884D09"/>
    <w:pPr>
      <w:tabs>
        <w:tab w:val="center" w:pos="4252"/>
        <w:tab w:val="right" w:pos="8504"/>
      </w:tabs>
    </w:pPr>
  </w:style>
  <w:style w:type="character" w:styleId="HeaderChar" w:customStyle="1">
    <w:name w:val="Header Char"/>
    <w:basedOn w:val="DefaultParagraphFont"/>
    <w:link w:val="Header"/>
    <w:uiPriority w:val="99"/>
    <w:rsid w:val="00884D09"/>
  </w:style>
  <w:style w:type="paragraph" w:styleId="Footer">
    <w:name w:val="footer"/>
    <w:basedOn w:val="Normal"/>
    <w:link w:val="FooterChar"/>
    <w:uiPriority w:val="99"/>
    <w:unhideWhenUsed w:val="1"/>
    <w:rsid w:val="00884D09"/>
    <w:pPr>
      <w:tabs>
        <w:tab w:val="center" w:pos="4252"/>
        <w:tab w:val="right" w:pos="8504"/>
      </w:tabs>
    </w:pPr>
  </w:style>
  <w:style w:type="character" w:styleId="FooterChar" w:customStyle="1">
    <w:name w:val="Footer Char"/>
    <w:basedOn w:val="DefaultParagraphFont"/>
    <w:link w:val="Footer"/>
    <w:uiPriority w:val="99"/>
    <w:rsid w:val="00884D09"/>
  </w:style>
  <w:style w:type="paragraph" w:styleId="NormalWeb">
    <w:name w:val="Normal (Web)"/>
    <w:basedOn w:val="Normal"/>
    <w:uiPriority w:val="99"/>
    <w:semiHidden w:val="1"/>
    <w:unhideWhenUsed w:val="1"/>
    <w:rsid w:val="003679B2"/>
    <w:rPr>
      <w:rFonts w:ascii="Times New Roman" w:cs="Times New Roman" w:hAnsi="Times New Roman"/>
    </w:rPr>
  </w:style>
  <w:style w:type="character" w:styleId="Strong">
    <w:name w:val="Strong"/>
    <w:basedOn w:val="DefaultParagraphFont"/>
    <w:uiPriority w:val="22"/>
    <w:qFormat w:val="1"/>
    <w:rsid w:val="007E1DD5"/>
    <w:rPr>
      <w:b w:val="1"/>
      <w:bCs w:val="1"/>
    </w:rPr>
  </w:style>
  <w:style w:type="paragraph" w:styleId="Revision">
    <w:name w:val="Revision"/>
    <w:hidden w:val="1"/>
    <w:uiPriority w:val="99"/>
    <w:semiHidden w:val="1"/>
    <w:rsid w:val="00D47ED5"/>
  </w:style>
  <w:style w:type="character" w:styleId="Hyperlink">
    <w:name w:val="Hyperlink"/>
    <w:basedOn w:val="DefaultParagraphFont"/>
    <w:uiPriority w:val="99"/>
    <w:unhideWhenUsed w:val="1"/>
    <w:rsid w:val="009E280E"/>
    <w:rPr>
      <w:color w:val="0000ff" w:themeColor="hyperlink"/>
      <w:u w:val="single"/>
    </w:rPr>
  </w:style>
  <w:style w:type="character" w:styleId="UnresolvedMention">
    <w:name w:val="Unresolved Mention"/>
    <w:basedOn w:val="DefaultParagraphFont"/>
    <w:uiPriority w:val="99"/>
    <w:semiHidden w:val="1"/>
    <w:unhideWhenUsed w:val="1"/>
    <w:rsid w:val="009E280E"/>
    <w:rPr>
      <w:color w:val="605e5c"/>
      <w:shd w:color="auto" w:fill="e1dfdd" w:val="clear"/>
    </w:rPr>
  </w:style>
  <w:style w:type="table" w:styleId="TableGrid">
    <w:name w:val="Table Grid"/>
    <w:basedOn w:val="TableNormal"/>
    <w:uiPriority w:val="39"/>
    <w:rsid w:val="00480423"/>
    <w:rPr>
      <w:rFonts w:asciiTheme="minorHAnsi" w:cstheme="minorBidi" w:eastAsiaTheme="minorHAnsi" w:hAnsiTheme="minorHAnsi"/>
      <w:kern w:val="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A54998"/>
    <w:rPr>
      <w:sz w:val="20"/>
      <w:szCs w:val="20"/>
    </w:rPr>
  </w:style>
  <w:style w:type="character" w:styleId="FootnoteTextChar" w:customStyle="1">
    <w:name w:val="Footnote Text Char"/>
    <w:basedOn w:val="DefaultParagraphFont"/>
    <w:link w:val="FootnoteText"/>
    <w:uiPriority w:val="99"/>
    <w:semiHidden w:val="1"/>
    <w:rsid w:val="00A54998"/>
    <w:rPr>
      <w:sz w:val="20"/>
      <w:szCs w:val="20"/>
    </w:rPr>
  </w:style>
  <w:style w:type="character" w:styleId="FootnoteReference">
    <w:name w:val="footnote reference"/>
    <w:basedOn w:val="DefaultParagraphFont"/>
    <w:uiPriority w:val="99"/>
    <w:semiHidden w:val="1"/>
    <w:unhideWhenUsed w:val="1"/>
    <w:rsid w:val="00A54998"/>
    <w:rPr>
      <w:vertAlign w:val="superscript"/>
    </w:rPr>
  </w:style>
  <w:style w:type="paragraph" w:styleId="EndnoteText">
    <w:name w:val="endnote text"/>
    <w:basedOn w:val="Normal"/>
    <w:link w:val="EndnoteTextChar"/>
    <w:uiPriority w:val="99"/>
    <w:semiHidden w:val="1"/>
    <w:unhideWhenUsed w:val="1"/>
    <w:rsid w:val="00EF3BF6"/>
    <w:rPr>
      <w:sz w:val="20"/>
      <w:szCs w:val="20"/>
    </w:rPr>
  </w:style>
  <w:style w:type="character" w:styleId="EndnoteTextChar" w:customStyle="1">
    <w:name w:val="Endnote Text Char"/>
    <w:basedOn w:val="DefaultParagraphFont"/>
    <w:link w:val="EndnoteText"/>
    <w:uiPriority w:val="99"/>
    <w:semiHidden w:val="1"/>
    <w:rsid w:val="00EF3BF6"/>
    <w:rPr>
      <w:sz w:val="20"/>
      <w:szCs w:val="20"/>
    </w:rPr>
  </w:style>
  <w:style w:type="character" w:styleId="EndnoteReference">
    <w:name w:val="endnote reference"/>
    <w:basedOn w:val="DefaultParagraphFont"/>
    <w:uiPriority w:val="99"/>
    <w:semiHidden w:val="1"/>
    <w:unhideWhenUsed w:val="1"/>
    <w:rsid w:val="00EF3BF6"/>
    <w:rPr>
      <w:vertAlign w:val="superscript"/>
    </w:rPr>
  </w:style>
  <w:style w:type="table" w:styleId="a" w:customStyle="1">
    <w:basedOn w:val="TableNormal1"/>
    <w:tblPr>
      <w:tblStyleRowBandSize w:val="1"/>
      <w:tblStyleColBandSize w:val="1"/>
      <w:tblCellMar>
        <w:left w:w="108.0" w:type="dxa"/>
        <w:right w:w="108.0" w:type="dxa"/>
      </w:tblCellMar>
    </w:tblPr>
  </w:style>
  <w:style w:type="paragraph" w:styleId="CommentSubject">
    <w:name w:val="annotation subject"/>
    <w:basedOn w:val="CommentText"/>
    <w:next w:val="CommentText"/>
    <w:link w:val="CommentSubjectChar"/>
    <w:uiPriority w:val="99"/>
    <w:semiHidden w:val="1"/>
    <w:unhideWhenUsed w:val="1"/>
    <w:rsid w:val="00F01331"/>
    <w:rPr>
      <w:b w:val="1"/>
      <w:bCs w:val="1"/>
    </w:rPr>
  </w:style>
  <w:style w:type="character" w:styleId="CommentSubjectChar" w:customStyle="1">
    <w:name w:val="Comment Subject Char"/>
    <w:basedOn w:val="CommentTextChar"/>
    <w:link w:val="CommentSubject"/>
    <w:uiPriority w:val="99"/>
    <w:semiHidden w:val="1"/>
    <w:rsid w:val="00F01331"/>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www.adolescere.es/maltrato-de-la-poblacion-adolescente-a-traves-de-las-tics-grooming-sexting-ciberbully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eped.es/" TargetMode="External"/><Relationship Id="rId8" Type="http://schemas.openxmlformats.org/officeDocument/2006/relationships/hyperlink" Target="https://sedeaepd.gob.es/sede-electronica-web/vistas/infoSede/tramitesCiudadanoReclamaciones.js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 Id="rId3"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fiaYVKdtLpfsug+Cgfsn/uHJYQ==">CgMxLjAyCWguM3pueXNoNzgAciExWTIySE02OUNndjNDdXFPaDRpZUVoV2J4RnIxNGp1WGE=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2025-09-19T12:28:00Z</dcterms:created>
  <dc:creator>EVA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64d2257fd14cc0150867eebd746936afeff0813566a50a571319fa378a2fcd20</vt:lpwstr>
  </property>
</Properties>
</file>