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0C0D3" w14:textId="77777777" w:rsidR="00AD3C89" w:rsidRDefault="00AD3C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center"/>
        <w:rPr>
          <w:rFonts w:ascii="Calibri" w:eastAsia="Calibri" w:hAnsi="Calibri" w:cs="Calibri"/>
          <w:b/>
          <w:color w:val="004366"/>
          <w:u w:val="single"/>
        </w:rPr>
      </w:pPr>
    </w:p>
    <w:p w14:paraId="6E61B7E2" w14:textId="0790BC81" w:rsidR="00F001CA" w:rsidRDefault="00F001CA" w:rsidP="00F001CA">
      <w:pPr>
        <w:spacing w:line="276" w:lineRule="auto"/>
        <w:jc w:val="center"/>
        <w:rPr>
          <w:rFonts w:ascii="Calibri" w:eastAsia="Calibri" w:hAnsi="Calibri" w:cs="Calibri"/>
          <w:b/>
          <w:color w:val="004366"/>
          <w:u w:val="single"/>
        </w:rPr>
      </w:pPr>
      <w:r>
        <w:rPr>
          <w:rFonts w:ascii="Calibri" w:eastAsia="Calibri" w:hAnsi="Calibri" w:cs="Calibri"/>
          <w:b/>
          <w:color w:val="004366"/>
          <w:u w:val="single"/>
        </w:rPr>
        <w:t xml:space="preserve">Un artículo en </w:t>
      </w:r>
      <w:r>
        <w:rPr>
          <w:rFonts w:ascii="Calibri" w:eastAsia="Calibri" w:hAnsi="Calibri" w:cs="Calibri"/>
          <w:b/>
          <w:i/>
          <w:color w:val="004366"/>
          <w:u w:val="single"/>
        </w:rPr>
        <w:t>Anales de Pediatría</w:t>
      </w:r>
      <w:r>
        <w:rPr>
          <w:rFonts w:ascii="Calibri" w:eastAsia="Calibri" w:hAnsi="Calibri" w:cs="Calibri"/>
          <w:b/>
          <w:color w:val="004366"/>
          <w:u w:val="single"/>
        </w:rPr>
        <w:t xml:space="preserve"> </w:t>
      </w:r>
      <w:r w:rsidR="00C335DF">
        <w:rPr>
          <w:rFonts w:ascii="Calibri" w:eastAsia="Calibri" w:hAnsi="Calibri" w:cs="Calibri"/>
          <w:b/>
          <w:color w:val="004366"/>
          <w:u w:val="single"/>
        </w:rPr>
        <w:t>analiza el desafío de salud pública que supone</w:t>
      </w:r>
      <w:r w:rsidR="00911DCC">
        <w:rPr>
          <w:rFonts w:ascii="Calibri" w:eastAsia="Calibri" w:hAnsi="Calibri" w:cs="Calibri"/>
          <w:b/>
          <w:color w:val="004366"/>
          <w:u w:val="single"/>
        </w:rPr>
        <w:t xml:space="preserve"> el continuo aumento de</w:t>
      </w:r>
      <w:r w:rsidR="00C335DF">
        <w:rPr>
          <w:rFonts w:ascii="Calibri" w:eastAsia="Calibri" w:hAnsi="Calibri" w:cs="Calibri"/>
          <w:b/>
          <w:color w:val="004366"/>
          <w:u w:val="single"/>
        </w:rPr>
        <w:t xml:space="preserve"> las infecciones de transmisión sexual (ITS) en</w:t>
      </w:r>
      <w:r w:rsidR="00911DCC">
        <w:rPr>
          <w:rFonts w:ascii="Calibri" w:eastAsia="Calibri" w:hAnsi="Calibri" w:cs="Calibri"/>
          <w:b/>
          <w:color w:val="004366"/>
          <w:u w:val="single"/>
        </w:rPr>
        <w:t>tre</w:t>
      </w:r>
      <w:r w:rsidR="00C335DF">
        <w:rPr>
          <w:rFonts w:ascii="Calibri" w:eastAsia="Calibri" w:hAnsi="Calibri" w:cs="Calibri"/>
          <w:b/>
          <w:color w:val="004366"/>
          <w:u w:val="single"/>
        </w:rPr>
        <w:t xml:space="preserve"> la población adolescente</w:t>
      </w:r>
    </w:p>
    <w:p w14:paraId="445AE5FB" w14:textId="77777777" w:rsidR="00F001CA" w:rsidRDefault="00F001C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center"/>
        <w:rPr>
          <w:rFonts w:ascii="Calibri" w:eastAsia="Calibri" w:hAnsi="Calibri" w:cs="Calibri"/>
          <w:b/>
          <w:color w:val="00AEEF"/>
          <w:sz w:val="36"/>
          <w:szCs w:val="36"/>
        </w:rPr>
      </w:pPr>
    </w:p>
    <w:p w14:paraId="0FBE5C59" w14:textId="3940731A" w:rsidR="00AD3C89" w:rsidRDefault="003A3B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center"/>
        <w:rPr>
          <w:rFonts w:ascii="Calibri" w:eastAsia="Calibri" w:hAnsi="Calibri" w:cs="Calibri"/>
          <w:b/>
          <w:color w:val="00AEEF"/>
          <w:sz w:val="36"/>
          <w:szCs w:val="36"/>
        </w:rPr>
      </w:pPr>
      <w:r>
        <w:rPr>
          <w:rFonts w:ascii="Calibri" w:eastAsia="Calibri" w:hAnsi="Calibri" w:cs="Calibri"/>
          <w:b/>
          <w:color w:val="00AEEF"/>
          <w:sz w:val="36"/>
          <w:szCs w:val="36"/>
        </w:rPr>
        <w:t xml:space="preserve">Crecen las </w:t>
      </w:r>
      <w:r w:rsidR="00C335DF">
        <w:rPr>
          <w:rFonts w:ascii="Calibri" w:eastAsia="Calibri" w:hAnsi="Calibri" w:cs="Calibri"/>
          <w:b/>
          <w:color w:val="00AEEF"/>
          <w:sz w:val="36"/>
          <w:szCs w:val="36"/>
        </w:rPr>
        <w:t>ITS</w:t>
      </w:r>
      <w:r w:rsidR="00CE201C">
        <w:rPr>
          <w:rFonts w:ascii="Calibri" w:eastAsia="Calibri" w:hAnsi="Calibri" w:cs="Calibri"/>
          <w:b/>
          <w:color w:val="00AEEF"/>
          <w:sz w:val="36"/>
          <w:szCs w:val="36"/>
        </w:rPr>
        <w:t xml:space="preserve"> en adolescente</w:t>
      </w:r>
      <w:r w:rsidR="00F001CA">
        <w:rPr>
          <w:rFonts w:ascii="Calibri" w:eastAsia="Calibri" w:hAnsi="Calibri" w:cs="Calibri"/>
          <w:b/>
          <w:color w:val="00AEEF"/>
          <w:sz w:val="36"/>
          <w:szCs w:val="36"/>
        </w:rPr>
        <w:t>s</w:t>
      </w:r>
      <w:r w:rsidR="00C335DF">
        <w:rPr>
          <w:rFonts w:ascii="Calibri" w:eastAsia="Calibri" w:hAnsi="Calibri" w:cs="Calibri"/>
          <w:b/>
          <w:color w:val="00AEEF"/>
          <w:sz w:val="36"/>
          <w:szCs w:val="36"/>
        </w:rPr>
        <w:t xml:space="preserve">, </w:t>
      </w:r>
      <w:r w:rsidR="00911DCC" w:rsidRPr="00911DCC">
        <w:rPr>
          <w:rFonts w:ascii="Calibri" w:eastAsia="Calibri" w:hAnsi="Calibri" w:cs="Calibri"/>
          <w:b/>
          <w:color w:val="00AEEF"/>
          <w:sz w:val="36"/>
          <w:szCs w:val="36"/>
        </w:rPr>
        <w:t>más difíciles de diagnosticar y controlar</w:t>
      </w:r>
      <w:r w:rsidR="0077713D">
        <w:rPr>
          <w:rFonts w:ascii="Calibri" w:eastAsia="Calibri" w:hAnsi="Calibri" w:cs="Calibri"/>
          <w:b/>
          <w:color w:val="00AEEF"/>
          <w:sz w:val="36"/>
          <w:szCs w:val="36"/>
        </w:rPr>
        <w:t xml:space="preserve"> que en la edad adulta</w:t>
      </w:r>
    </w:p>
    <w:p w14:paraId="14E977D5" w14:textId="77777777" w:rsidR="00AD3C89" w:rsidRDefault="00AD3C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4366"/>
        </w:rPr>
      </w:pPr>
    </w:p>
    <w:p w14:paraId="5BA6F461" w14:textId="6167DCB8" w:rsidR="00AD3C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4366"/>
        </w:rPr>
      </w:pPr>
      <w:r>
        <w:rPr>
          <w:rFonts w:ascii="Calibri" w:eastAsia="Calibri" w:hAnsi="Calibri" w:cs="Calibri"/>
          <w:b/>
          <w:color w:val="004366"/>
        </w:rPr>
        <w:t xml:space="preserve">La </w:t>
      </w:r>
      <w:r w:rsidR="00D503AB">
        <w:rPr>
          <w:rFonts w:ascii="Calibri" w:eastAsia="Calibri" w:hAnsi="Calibri" w:cs="Calibri"/>
          <w:b/>
          <w:color w:val="004366"/>
        </w:rPr>
        <w:t xml:space="preserve">OMS </w:t>
      </w:r>
      <w:r w:rsidR="00D503AB" w:rsidRPr="00D503AB">
        <w:rPr>
          <w:rFonts w:ascii="Calibri" w:eastAsia="Calibri" w:hAnsi="Calibri" w:cs="Calibri"/>
          <w:b/>
          <w:color w:val="004366"/>
        </w:rPr>
        <w:t xml:space="preserve">estima que </w:t>
      </w:r>
      <w:r w:rsidR="00D503AB">
        <w:rPr>
          <w:rFonts w:ascii="Calibri" w:eastAsia="Calibri" w:hAnsi="Calibri" w:cs="Calibri"/>
          <w:b/>
          <w:color w:val="004366"/>
        </w:rPr>
        <w:t>cada año</w:t>
      </w:r>
      <w:r w:rsidR="00D503AB" w:rsidRPr="00D503AB">
        <w:rPr>
          <w:rFonts w:ascii="Calibri" w:eastAsia="Calibri" w:hAnsi="Calibri" w:cs="Calibri"/>
          <w:b/>
          <w:color w:val="004366"/>
        </w:rPr>
        <w:t xml:space="preserve"> </w:t>
      </w:r>
      <w:r w:rsidR="00D503AB">
        <w:rPr>
          <w:rFonts w:ascii="Calibri" w:eastAsia="Calibri" w:hAnsi="Calibri" w:cs="Calibri"/>
          <w:b/>
          <w:color w:val="004366"/>
        </w:rPr>
        <w:t>hay</w:t>
      </w:r>
      <w:r w:rsidR="00D503AB" w:rsidRPr="00F02C7A">
        <w:rPr>
          <w:rFonts w:ascii="Calibri" w:eastAsia="Calibri" w:hAnsi="Calibri" w:cs="Calibri"/>
          <w:b/>
          <w:color w:val="004366"/>
        </w:rPr>
        <w:t xml:space="preserve"> 376 millones</w:t>
      </w:r>
      <w:r w:rsidR="00D503AB">
        <w:rPr>
          <w:rFonts w:ascii="Calibri" w:eastAsia="Calibri" w:hAnsi="Calibri" w:cs="Calibri"/>
          <w:b/>
          <w:color w:val="004366"/>
        </w:rPr>
        <w:t xml:space="preserve"> de</w:t>
      </w:r>
      <w:r w:rsidR="00D503AB" w:rsidRPr="00F02C7A">
        <w:rPr>
          <w:rFonts w:ascii="Calibri" w:eastAsia="Calibri" w:hAnsi="Calibri" w:cs="Calibri"/>
          <w:b/>
          <w:color w:val="004366"/>
        </w:rPr>
        <w:t xml:space="preserve"> nuevas infecciones de </w:t>
      </w:r>
      <w:r w:rsidR="00D503AB" w:rsidRPr="00D503AB">
        <w:rPr>
          <w:rFonts w:ascii="Calibri" w:eastAsia="Calibri" w:hAnsi="Calibri" w:cs="Calibri"/>
          <w:b/>
          <w:color w:val="004366"/>
        </w:rPr>
        <w:t>c</w:t>
      </w:r>
      <w:r w:rsidR="00D503AB" w:rsidRPr="00F02C7A">
        <w:rPr>
          <w:rFonts w:ascii="Calibri" w:eastAsia="Calibri" w:hAnsi="Calibri" w:cs="Calibri"/>
          <w:b/>
          <w:color w:val="004366"/>
        </w:rPr>
        <w:t>lam</w:t>
      </w:r>
      <w:r w:rsidR="003A3BDD">
        <w:rPr>
          <w:rFonts w:ascii="Calibri" w:eastAsia="Calibri" w:hAnsi="Calibri" w:cs="Calibri"/>
          <w:b/>
          <w:color w:val="004366"/>
        </w:rPr>
        <w:t>i</w:t>
      </w:r>
      <w:r w:rsidR="00D503AB" w:rsidRPr="00F02C7A">
        <w:rPr>
          <w:rFonts w:ascii="Calibri" w:eastAsia="Calibri" w:hAnsi="Calibri" w:cs="Calibri"/>
          <w:b/>
          <w:color w:val="004366"/>
        </w:rPr>
        <w:t>dia, gonorrea, sífilis y tricomoniasis</w:t>
      </w:r>
      <w:r w:rsidR="00D503AB">
        <w:rPr>
          <w:rFonts w:ascii="Calibri" w:eastAsia="Calibri" w:hAnsi="Calibri" w:cs="Calibri"/>
          <w:b/>
          <w:color w:val="004366"/>
        </w:rPr>
        <w:t xml:space="preserve"> en el mundo</w:t>
      </w:r>
    </w:p>
    <w:p w14:paraId="16FF1FFF" w14:textId="77777777" w:rsidR="00D503AB" w:rsidRDefault="00D503AB" w:rsidP="00D503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alibri" w:hAnsi="Calibri" w:cs="Calibri"/>
          <w:b/>
          <w:color w:val="004366"/>
        </w:rPr>
      </w:pPr>
    </w:p>
    <w:p w14:paraId="01416B32" w14:textId="4D3BE68D" w:rsidR="00D503AB" w:rsidRDefault="00D503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4366"/>
        </w:rPr>
      </w:pPr>
      <w:r>
        <w:rPr>
          <w:rFonts w:ascii="Calibri" w:eastAsia="Calibri" w:hAnsi="Calibri" w:cs="Calibri"/>
          <w:b/>
          <w:color w:val="004366"/>
        </w:rPr>
        <w:t xml:space="preserve">El inicio cada vez más temprano de las relaciones </w:t>
      </w:r>
      <w:r w:rsidR="001074CB">
        <w:rPr>
          <w:rFonts w:ascii="Calibri" w:eastAsia="Calibri" w:hAnsi="Calibri" w:cs="Calibri"/>
          <w:b/>
          <w:color w:val="004366"/>
        </w:rPr>
        <w:t>íntimas</w:t>
      </w:r>
      <w:r>
        <w:rPr>
          <w:rFonts w:ascii="Calibri" w:eastAsia="Calibri" w:hAnsi="Calibri" w:cs="Calibri"/>
          <w:b/>
          <w:color w:val="004366"/>
        </w:rPr>
        <w:t xml:space="preserve"> (16,2 años de media), </w:t>
      </w:r>
      <w:r w:rsidRPr="00523B60">
        <w:rPr>
          <w:rFonts w:ascii="Calibri" w:eastAsia="Calibri" w:hAnsi="Calibri" w:cs="Calibri"/>
          <w:b/>
          <w:color w:val="004366"/>
        </w:rPr>
        <w:t xml:space="preserve">el aumento del número de parejas sexuales y la disminución del uso de métodos de barrera son algunos de los factores que </w:t>
      </w:r>
      <w:r w:rsidR="00523B60" w:rsidRPr="00523B60">
        <w:rPr>
          <w:rFonts w:ascii="Calibri" w:eastAsia="Calibri" w:hAnsi="Calibri" w:cs="Calibri"/>
          <w:b/>
          <w:color w:val="004366"/>
        </w:rPr>
        <w:t>explican el aumento de ITS entre los adolescentes</w:t>
      </w:r>
    </w:p>
    <w:p w14:paraId="339A4B6F" w14:textId="77777777" w:rsidR="00D503AB" w:rsidRDefault="00D503AB" w:rsidP="00523B6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alibri" w:hAnsi="Calibri" w:cs="Calibri"/>
          <w:b/>
          <w:color w:val="004366"/>
        </w:rPr>
      </w:pPr>
    </w:p>
    <w:p w14:paraId="6CEFC3F6" w14:textId="2A9406F7" w:rsidR="00D503AB" w:rsidRDefault="00523B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4366"/>
        </w:rPr>
      </w:pPr>
      <w:r>
        <w:rPr>
          <w:rFonts w:ascii="Calibri" w:eastAsia="Calibri" w:hAnsi="Calibri" w:cs="Calibri"/>
          <w:b/>
          <w:color w:val="004366"/>
        </w:rPr>
        <w:t>Tanto la i</w:t>
      </w:r>
      <w:r w:rsidR="00D503AB" w:rsidRPr="00911DCC">
        <w:rPr>
          <w:rFonts w:ascii="Calibri" w:eastAsia="Calibri" w:hAnsi="Calibri" w:cs="Calibri"/>
          <w:b/>
          <w:color w:val="004366"/>
        </w:rPr>
        <w:t>nmadurez de</w:t>
      </w:r>
      <w:r>
        <w:rPr>
          <w:rFonts w:ascii="Calibri" w:eastAsia="Calibri" w:hAnsi="Calibri" w:cs="Calibri"/>
          <w:b/>
          <w:color w:val="004366"/>
        </w:rPr>
        <w:t xml:space="preserve"> su</w:t>
      </w:r>
      <w:r w:rsidR="00D503AB" w:rsidRPr="00911DCC">
        <w:rPr>
          <w:rFonts w:ascii="Calibri" w:eastAsia="Calibri" w:hAnsi="Calibri" w:cs="Calibri"/>
          <w:b/>
          <w:color w:val="004366"/>
        </w:rPr>
        <w:t xml:space="preserve"> tracto genital</w:t>
      </w:r>
      <w:r>
        <w:rPr>
          <w:rFonts w:ascii="Calibri" w:eastAsia="Calibri" w:hAnsi="Calibri" w:cs="Calibri"/>
          <w:b/>
          <w:color w:val="004366"/>
        </w:rPr>
        <w:t xml:space="preserve">, como la mayor prevalencia de </w:t>
      </w:r>
      <w:r w:rsidRPr="00911DCC">
        <w:rPr>
          <w:rFonts w:ascii="Calibri" w:eastAsia="Calibri" w:hAnsi="Calibri" w:cs="Calibri"/>
          <w:b/>
          <w:color w:val="004366"/>
        </w:rPr>
        <w:t>ITS asintomáticas</w:t>
      </w:r>
      <w:r w:rsidRPr="00523B60">
        <w:rPr>
          <w:rFonts w:ascii="Calibri" w:eastAsia="Calibri" w:hAnsi="Calibri" w:cs="Calibri"/>
          <w:b/>
          <w:color w:val="004366"/>
        </w:rPr>
        <w:t xml:space="preserve"> </w:t>
      </w:r>
      <w:r>
        <w:rPr>
          <w:rFonts w:ascii="Calibri" w:eastAsia="Calibri" w:hAnsi="Calibri" w:cs="Calibri"/>
          <w:b/>
          <w:color w:val="004366"/>
        </w:rPr>
        <w:t>en esta etapa de la vida</w:t>
      </w:r>
      <w:r w:rsidR="00F54A6D">
        <w:rPr>
          <w:rFonts w:ascii="Calibri" w:eastAsia="Calibri" w:hAnsi="Calibri" w:cs="Calibri"/>
          <w:b/>
          <w:color w:val="004366"/>
        </w:rPr>
        <w:t xml:space="preserve">, así como </w:t>
      </w:r>
      <w:r w:rsidR="00F54A6D" w:rsidRPr="00F54A6D">
        <w:rPr>
          <w:rFonts w:ascii="Calibri" w:eastAsia="Calibri" w:hAnsi="Calibri" w:cs="Calibri"/>
          <w:b/>
          <w:color w:val="004366"/>
        </w:rPr>
        <w:t>la falta de circuitos asistenciales específicos</w:t>
      </w:r>
      <w:r w:rsidR="00F54A6D">
        <w:rPr>
          <w:rFonts w:ascii="Calibri" w:eastAsia="Calibri" w:hAnsi="Calibri" w:cs="Calibri"/>
          <w:b/>
          <w:color w:val="004366"/>
        </w:rPr>
        <w:t xml:space="preserve">, </w:t>
      </w:r>
      <w:r w:rsidR="00D503AB" w:rsidRPr="00523B60">
        <w:rPr>
          <w:rFonts w:ascii="Calibri" w:eastAsia="Calibri" w:hAnsi="Calibri" w:cs="Calibri"/>
          <w:b/>
          <w:color w:val="004366"/>
        </w:rPr>
        <w:t xml:space="preserve">contribuyen a dificultar su </w:t>
      </w:r>
      <w:r w:rsidR="00D503AB" w:rsidRPr="00911DCC">
        <w:rPr>
          <w:rFonts w:ascii="Calibri" w:eastAsia="Calibri" w:hAnsi="Calibri" w:cs="Calibri"/>
          <w:b/>
          <w:color w:val="004366"/>
        </w:rPr>
        <w:t>control</w:t>
      </w:r>
    </w:p>
    <w:p w14:paraId="13805A07" w14:textId="77777777" w:rsidR="00AC5DF5" w:rsidRDefault="00AC5DF5" w:rsidP="00AC5DF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alibri" w:hAnsi="Calibri" w:cs="Calibri"/>
          <w:b/>
          <w:color w:val="004366"/>
        </w:rPr>
      </w:pPr>
    </w:p>
    <w:p w14:paraId="2EFA0A73" w14:textId="46CC7186" w:rsidR="00AD3C89" w:rsidRDefault="001074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4366"/>
        </w:rPr>
      </w:pPr>
      <w:r>
        <w:rPr>
          <w:rFonts w:ascii="Calibri" w:eastAsia="Calibri" w:hAnsi="Calibri" w:cs="Calibri"/>
          <w:b/>
          <w:color w:val="004366"/>
        </w:rPr>
        <w:t>Los</w:t>
      </w:r>
      <w:r w:rsidR="00523B60">
        <w:rPr>
          <w:rFonts w:ascii="Calibri" w:eastAsia="Calibri" w:hAnsi="Calibri" w:cs="Calibri"/>
          <w:b/>
          <w:color w:val="004366"/>
        </w:rPr>
        <w:t xml:space="preserve"> </w:t>
      </w:r>
      <w:r w:rsidR="00D503AB" w:rsidRPr="000A4EF2">
        <w:rPr>
          <w:rFonts w:ascii="Calibri" w:eastAsia="Calibri" w:hAnsi="Calibri" w:cs="Calibri"/>
          <w:b/>
          <w:color w:val="004366"/>
        </w:rPr>
        <w:t xml:space="preserve">protocolos </w:t>
      </w:r>
      <w:r w:rsidR="00523B60">
        <w:rPr>
          <w:rFonts w:ascii="Calibri" w:eastAsia="Calibri" w:hAnsi="Calibri" w:cs="Calibri"/>
          <w:b/>
          <w:color w:val="004366"/>
        </w:rPr>
        <w:t>adaptados</w:t>
      </w:r>
      <w:r w:rsidR="00D503AB" w:rsidRPr="000A4EF2">
        <w:rPr>
          <w:rFonts w:ascii="Calibri" w:eastAsia="Calibri" w:hAnsi="Calibri" w:cs="Calibri"/>
          <w:b/>
          <w:color w:val="004366"/>
        </w:rPr>
        <w:t xml:space="preserve"> </w:t>
      </w:r>
      <w:r w:rsidR="00D503AB" w:rsidRPr="00D503AB">
        <w:rPr>
          <w:rFonts w:ascii="Calibri" w:eastAsia="Calibri" w:hAnsi="Calibri" w:cs="Calibri"/>
          <w:b/>
          <w:color w:val="004366"/>
        </w:rPr>
        <w:t>para el cribado en adolescentes sexualmente activos</w:t>
      </w:r>
      <w:r w:rsidR="00523B60">
        <w:rPr>
          <w:rFonts w:ascii="Calibri" w:eastAsia="Calibri" w:hAnsi="Calibri" w:cs="Calibri"/>
          <w:b/>
          <w:color w:val="004366"/>
        </w:rPr>
        <w:t xml:space="preserve"> o la </w:t>
      </w:r>
      <w:r w:rsidR="00523B60" w:rsidRPr="00523B60">
        <w:rPr>
          <w:rFonts w:ascii="Calibri" w:eastAsia="Calibri" w:hAnsi="Calibri" w:cs="Calibri"/>
          <w:b/>
          <w:color w:val="004366"/>
        </w:rPr>
        <w:t>educación sexual</w:t>
      </w:r>
      <w:r>
        <w:rPr>
          <w:rFonts w:ascii="Calibri" w:eastAsia="Calibri" w:hAnsi="Calibri" w:cs="Calibri"/>
          <w:b/>
          <w:color w:val="004366"/>
        </w:rPr>
        <w:t xml:space="preserve"> a través de herramientas digitales se postulan como</w:t>
      </w:r>
      <w:r w:rsidR="00523B60">
        <w:rPr>
          <w:rFonts w:ascii="Calibri" w:eastAsia="Calibri" w:hAnsi="Calibri" w:cs="Calibri"/>
          <w:b/>
          <w:color w:val="004366"/>
        </w:rPr>
        <w:t xml:space="preserve"> posibles medidas para </w:t>
      </w:r>
      <w:r w:rsidR="00523B60" w:rsidRPr="00523B60">
        <w:rPr>
          <w:rFonts w:ascii="Calibri" w:eastAsia="Calibri" w:hAnsi="Calibri" w:cs="Calibri"/>
          <w:b/>
          <w:color w:val="004366"/>
        </w:rPr>
        <w:t xml:space="preserve">revertir </w:t>
      </w:r>
      <w:r>
        <w:rPr>
          <w:rFonts w:ascii="Calibri" w:eastAsia="Calibri" w:hAnsi="Calibri" w:cs="Calibri"/>
          <w:b/>
          <w:color w:val="004366"/>
        </w:rPr>
        <w:t>esta</w:t>
      </w:r>
      <w:r w:rsidR="00523B60" w:rsidRPr="00523B60">
        <w:rPr>
          <w:rFonts w:ascii="Calibri" w:eastAsia="Calibri" w:hAnsi="Calibri" w:cs="Calibri"/>
          <w:b/>
          <w:color w:val="004366"/>
        </w:rPr>
        <w:t xml:space="preserve"> tendencia</w:t>
      </w:r>
    </w:p>
    <w:p w14:paraId="680CA33E" w14:textId="77777777" w:rsidR="001074CB" w:rsidRDefault="001074CB" w:rsidP="001074CB">
      <w:pPr>
        <w:pStyle w:val="Prrafodelista"/>
        <w:rPr>
          <w:rFonts w:ascii="Calibri" w:eastAsia="Calibri" w:hAnsi="Calibri" w:cs="Calibri"/>
          <w:b/>
          <w:color w:val="004366"/>
        </w:rPr>
      </w:pPr>
    </w:p>
    <w:p w14:paraId="438FCCBF" w14:textId="6A49F703" w:rsidR="00571BF9" w:rsidRPr="0077713D" w:rsidRDefault="00000000" w:rsidP="00571BF9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b/>
          <w:color w:val="222222"/>
          <w:sz w:val="22"/>
          <w:szCs w:val="22"/>
        </w:rPr>
        <w:t xml:space="preserve">Madrid, </w:t>
      </w:r>
      <w:r w:rsidR="00F54A6D">
        <w:rPr>
          <w:rFonts w:ascii="Calibri" w:eastAsia="Calibri" w:hAnsi="Calibri" w:cs="Calibri"/>
          <w:b/>
          <w:color w:val="222222"/>
          <w:sz w:val="22"/>
          <w:szCs w:val="22"/>
        </w:rPr>
        <w:t>30</w:t>
      </w:r>
      <w:r>
        <w:rPr>
          <w:rFonts w:ascii="Calibri" w:eastAsia="Calibri" w:hAnsi="Calibri" w:cs="Calibri"/>
          <w:b/>
          <w:color w:val="222222"/>
          <w:sz w:val="22"/>
          <w:szCs w:val="22"/>
        </w:rPr>
        <w:t xml:space="preserve"> de abril de 2025</w:t>
      </w:r>
      <w:r>
        <w:rPr>
          <w:rFonts w:ascii="Calibri" w:eastAsia="Calibri" w:hAnsi="Calibri" w:cs="Calibri"/>
          <w:color w:val="222222"/>
          <w:sz w:val="22"/>
          <w:szCs w:val="22"/>
        </w:rPr>
        <w:t>. _ La</w:t>
      </w:r>
      <w:r w:rsidR="00571BF9">
        <w:rPr>
          <w:rFonts w:ascii="Calibri" w:eastAsia="Calibri" w:hAnsi="Calibri" w:cs="Calibri"/>
          <w:color w:val="222222"/>
          <w:sz w:val="22"/>
          <w:szCs w:val="22"/>
        </w:rPr>
        <w:t xml:space="preserve">s </w:t>
      </w:r>
      <w:r w:rsidR="00571BF9" w:rsidRPr="00571BF9">
        <w:rPr>
          <w:rFonts w:ascii="Calibri" w:eastAsia="Calibri" w:hAnsi="Calibri" w:cs="Calibri"/>
          <w:color w:val="222222"/>
          <w:sz w:val="22"/>
          <w:szCs w:val="22"/>
        </w:rPr>
        <w:t>infecciones de transmisión sexual (ITS) son un creciente problema de salud pública</w:t>
      </w:r>
      <w:r w:rsidR="00571BF9">
        <w:rPr>
          <w:rFonts w:ascii="Calibri" w:eastAsia="Calibri" w:hAnsi="Calibri" w:cs="Calibri"/>
          <w:color w:val="222222"/>
          <w:sz w:val="22"/>
          <w:szCs w:val="22"/>
        </w:rPr>
        <w:t xml:space="preserve">. </w:t>
      </w:r>
      <w:r w:rsidR="00571BF9" w:rsidRPr="00571BF9">
        <w:rPr>
          <w:rFonts w:ascii="Calibri" w:eastAsia="Calibri" w:hAnsi="Calibri" w:cs="Calibri"/>
          <w:color w:val="222222"/>
          <w:sz w:val="22"/>
          <w:szCs w:val="22"/>
        </w:rPr>
        <w:t>A diario se diagnostican más de un millón en el mundo, considerándose a la población adolescente un grupo de gran vulnerabilidad</w:t>
      </w:r>
      <w:r w:rsidR="00571BF9">
        <w:rPr>
          <w:rFonts w:ascii="Calibri" w:eastAsia="Calibri" w:hAnsi="Calibri" w:cs="Calibri"/>
          <w:color w:val="222222"/>
          <w:sz w:val="22"/>
          <w:szCs w:val="22"/>
        </w:rPr>
        <w:t xml:space="preserve"> frente a estas enfermedades, debido a </w:t>
      </w:r>
      <w:r w:rsidR="00571BF9" w:rsidRPr="00571BF9">
        <w:rPr>
          <w:rFonts w:ascii="Calibri" w:eastAsia="Calibri" w:hAnsi="Calibri" w:cs="Calibri"/>
          <w:color w:val="222222"/>
          <w:sz w:val="22"/>
          <w:szCs w:val="22"/>
        </w:rPr>
        <w:t xml:space="preserve">la falta de circuitos asistenciales específicos y </w:t>
      </w:r>
      <w:r w:rsidR="00571BF9">
        <w:rPr>
          <w:rFonts w:ascii="Calibri" w:eastAsia="Calibri" w:hAnsi="Calibri" w:cs="Calibri"/>
          <w:color w:val="222222"/>
          <w:sz w:val="22"/>
          <w:szCs w:val="22"/>
        </w:rPr>
        <w:t xml:space="preserve">a </w:t>
      </w:r>
      <w:r w:rsidR="00571BF9" w:rsidRPr="00571BF9">
        <w:rPr>
          <w:rFonts w:ascii="Calibri" w:eastAsia="Calibri" w:hAnsi="Calibri" w:cs="Calibri"/>
          <w:color w:val="222222"/>
          <w:sz w:val="22"/>
          <w:szCs w:val="22"/>
        </w:rPr>
        <w:t xml:space="preserve">la confidencialidad, </w:t>
      </w:r>
      <w:r w:rsidR="00571BF9">
        <w:rPr>
          <w:rFonts w:ascii="Calibri" w:eastAsia="Calibri" w:hAnsi="Calibri" w:cs="Calibri"/>
          <w:color w:val="222222"/>
          <w:sz w:val="22"/>
          <w:szCs w:val="22"/>
        </w:rPr>
        <w:t>lo que dificulta</w:t>
      </w:r>
      <w:r w:rsidR="00571BF9" w:rsidRPr="00571BF9">
        <w:rPr>
          <w:rFonts w:ascii="Calibri" w:eastAsia="Calibri" w:hAnsi="Calibri" w:cs="Calibri"/>
          <w:color w:val="222222"/>
          <w:sz w:val="22"/>
          <w:szCs w:val="22"/>
        </w:rPr>
        <w:t xml:space="preserve"> su atención y contribuye al infradiagnóstico</w:t>
      </w:r>
      <w:r w:rsidR="00571BF9">
        <w:rPr>
          <w:rFonts w:ascii="Calibri" w:eastAsia="Calibri" w:hAnsi="Calibri" w:cs="Calibri"/>
          <w:color w:val="222222"/>
          <w:sz w:val="22"/>
          <w:szCs w:val="22"/>
        </w:rPr>
        <w:t xml:space="preserve">. </w:t>
      </w:r>
      <w:r w:rsidR="0077713D">
        <w:rPr>
          <w:rFonts w:ascii="Calibri" w:eastAsia="Calibri" w:hAnsi="Calibri" w:cs="Calibri"/>
          <w:color w:val="222222"/>
          <w:sz w:val="22"/>
          <w:szCs w:val="22"/>
        </w:rPr>
        <w:t xml:space="preserve">Otros factores como la mayor prevalencia de </w:t>
      </w:r>
      <w:r w:rsidR="0077713D" w:rsidRPr="00911DCC">
        <w:rPr>
          <w:rFonts w:ascii="Calibri" w:eastAsia="Calibri" w:hAnsi="Calibri" w:cs="Calibri"/>
          <w:color w:val="222222"/>
          <w:sz w:val="22"/>
          <w:szCs w:val="22"/>
        </w:rPr>
        <w:t>ITS asintomáticas</w:t>
      </w:r>
      <w:r w:rsidR="0077713D">
        <w:rPr>
          <w:rFonts w:ascii="Calibri" w:eastAsia="Calibri" w:hAnsi="Calibri" w:cs="Calibri"/>
          <w:color w:val="222222"/>
          <w:sz w:val="22"/>
          <w:szCs w:val="22"/>
        </w:rPr>
        <w:t xml:space="preserve"> en esta etapa de la vida o la </w:t>
      </w:r>
      <w:r w:rsidR="0077713D" w:rsidRPr="00911DCC">
        <w:rPr>
          <w:rFonts w:ascii="Calibri" w:eastAsia="Calibri" w:hAnsi="Calibri" w:cs="Calibri"/>
          <w:color w:val="222222"/>
          <w:sz w:val="22"/>
          <w:szCs w:val="22"/>
        </w:rPr>
        <w:t>inmadurez del tracto genital</w:t>
      </w:r>
      <w:r w:rsidR="0077713D">
        <w:rPr>
          <w:rFonts w:ascii="Calibri" w:eastAsia="Calibri" w:hAnsi="Calibri" w:cs="Calibri"/>
          <w:color w:val="222222"/>
          <w:sz w:val="22"/>
          <w:szCs w:val="22"/>
        </w:rPr>
        <w:t xml:space="preserve"> también contribuyen a dificultar su </w:t>
      </w:r>
      <w:r w:rsidR="0077713D" w:rsidRPr="00911DCC">
        <w:rPr>
          <w:rFonts w:ascii="Calibri" w:eastAsia="Calibri" w:hAnsi="Calibri" w:cs="Calibri"/>
          <w:color w:val="222222"/>
          <w:sz w:val="22"/>
          <w:szCs w:val="22"/>
        </w:rPr>
        <w:t>control</w:t>
      </w:r>
      <w:r w:rsidR="0077713D">
        <w:rPr>
          <w:rFonts w:ascii="Calibri" w:eastAsia="Calibri" w:hAnsi="Calibri" w:cs="Calibri"/>
          <w:color w:val="222222"/>
          <w:sz w:val="22"/>
          <w:szCs w:val="22"/>
        </w:rPr>
        <w:t>, pudiendo incluso afectar</w:t>
      </w:r>
      <w:r w:rsidR="0077713D" w:rsidRPr="0077713D">
        <w:rPr>
          <w:rFonts w:ascii="Calibri" w:eastAsia="Calibri" w:hAnsi="Calibri" w:cs="Calibri"/>
          <w:color w:val="222222"/>
          <w:sz w:val="22"/>
          <w:szCs w:val="22"/>
        </w:rPr>
        <w:t xml:space="preserve"> </w:t>
      </w:r>
      <w:r w:rsidR="0077713D" w:rsidRPr="00911DCC">
        <w:rPr>
          <w:rFonts w:ascii="Calibri" w:eastAsia="Calibri" w:hAnsi="Calibri" w:cs="Calibri"/>
          <w:color w:val="222222"/>
          <w:sz w:val="22"/>
          <w:szCs w:val="22"/>
        </w:rPr>
        <w:t xml:space="preserve">a la fertilidad futura de las </w:t>
      </w:r>
      <w:r w:rsidR="003A3BDD">
        <w:rPr>
          <w:rFonts w:ascii="Calibri" w:eastAsia="Calibri" w:hAnsi="Calibri" w:cs="Calibri"/>
          <w:color w:val="222222"/>
          <w:sz w:val="22"/>
          <w:szCs w:val="22"/>
        </w:rPr>
        <w:t xml:space="preserve">personas </w:t>
      </w:r>
      <w:r w:rsidR="0077713D" w:rsidRPr="00911DCC">
        <w:rPr>
          <w:rFonts w:ascii="Calibri" w:eastAsia="Calibri" w:hAnsi="Calibri" w:cs="Calibri"/>
          <w:color w:val="222222"/>
          <w:sz w:val="22"/>
          <w:szCs w:val="22"/>
        </w:rPr>
        <w:t>afecta</w:t>
      </w:r>
      <w:r w:rsidR="003A3BDD">
        <w:rPr>
          <w:rFonts w:ascii="Calibri" w:eastAsia="Calibri" w:hAnsi="Calibri" w:cs="Calibri"/>
          <w:color w:val="222222"/>
          <w:sz w:val="22"/>
          <w:szCs w:val="22"/>
        </w:rPr>
        <w:t>da</w:t>
      </w:r>
      <w:r w:rsidR="0077713D" w:rsidRPr="00911DCC">
        <w:rPr>
          <w:rFonts w:ascii="Calibri" w:eastAsia="Calibri" w:hAnsi="Calibri" w:cs="Calibri"/>
          <w:color w:val="222222"/>
          <w:sz w:val="22"/>
          <w:szCs w:val="22"/>
        </w:rPr>
        <w:t>s</w:t>
      </w:r>
      <w:r w:rsidR="0077713D">
        <w:rPr>
          <w:rFonts w:ascii="Calibri" w:eastAsia="Calibri" w:hAnsi="Calibri" w:cs="Calibri"/>
          <w:color w:val="222222"/>
          <w:sz w:val="22"/>
          <w:szCs w:val="22"/>
        </w:rPr>
        <w:t xml:space="preserve">. </w:t>
      </w:r>
      <w:r w:rsidR="00571BF9">
        <w:rPr>
          <w:rFonts w:ascii="Calibri" w:eastAsia="Calibri" w:hAnsi="Calibri" w:cs="Calibri"/>
          <w:color w:val="222222"/>
          <w:sz w:val="22"/>
          <w:szCs w:val="22"/>
        </w:rPr>
        <w:t xml:space="preserve">Así lo refleja el editorial </w:t>
      </w:r>
      <w:hyperlink r:id="rId8" w:history="1">
        <w:r w:rsidR="00571BF9" w:rsidRPr="00571BF9">
          <w:rPr>
            <w:rStyle w:val="Hipervnculo"/>
            <w:rFonts w:ascii="Calibri" w:eastAsia="Calibri" w:hAnsi="Calibri" w:cs="Calibri"/>
            <w:color w:val="00B0F0"/>
            <w:sz w:val="22"/>
            <w:szCs w:val="22"/>
          </w:rPr>
          <w:t>Aumento de infecciones de transmisión sexual en adolescentes: un desafío urgente</w:t>
        </w:r>
      </w:hyperlink>
      <w:r w:rsidR="00571BF9" w:rsidRPr="00571BF9">
        <w:rPr>
          <w:rFonts w:ascii="Calibri" w:eastAsia="Calibri" w:hAnsi="Calibri" w:cs="Calibri"/>
          <w:color w:val="00B0F0"/>
          <w:sz w:val="22"/>
          <w:szCs w:val="22"/>
        </w:rPr>
        <w:t xml:space="preserve"> </w:t>
      </w:r>
      <w:r w:rsidR="00571BF9">
        <w:rPr>
          <w:rFonts w:ascii="Calibri" w:eastAsia="Calibri" w:hAnsi="Calibri" w:cs="Calibri"/>
          <w:color w:val="222222"/>
          <w:sz w:val="22"/>
          <w:szCs w:val="22"/>
        </w:rPr>
        <w:t xml:space="preserve">publicado en </w:t>
      </w:r>
      <w:hyperlink r:id="rId9">
        <w:r w:rsidR="00571BF9" w:rsidRPr="00571BF9">
          <w:rPr>
            <w:rFonts w:ascii="Calibri" w:eastAsia="Calibri" w:hAnsi="Calibri" w:cs="Calibri"/>
            <w:i/>
            <w:color w:val="00B0F0"/>
            <w:sz w:val="22"/>
            <w:szCs w:val="22"/>
            <w:u w:val="single"/>
          </w:rPr>
          <w:t>Anales de Pediatría</w:t>
        </w:r>
      </w:hyperlink>
      <w:r w:rsidR="00571BF9">
        <w:rPr>
          <w:rFonts w:ascii="Calibri" w:eastAsia="Calibri" w:hAnsi="Calibri" w:cs="Calibri"/>
          <w:color w:val="222222"/>
          <w:sz w:val="22"/>
          <w:szCs w:val="22"/>
        </w:rPr>
        <w:t xml:space="preserve">, el órgano de expresión científica de la </w:t>
      </w:r>
      <w:hyperlink r:id="rId10">
        <w:r w:rsidR="00571BF9" w:rsidRPr="00571BF9">
          <w:rPr>
            <w:rFonts w:ascii="Calibri" w:eastAsia="Calibri" w:hAnsi="Calibri" w:cs="Calibri"/>
            <w:color w:val="00B0F0"/>
            <w:sz w:val="22"/>
            <w:szCs w:val="22"/>
            <w:u w:val="single"/>
          </w:rPr>
          <w:t>Asociación Española de Pediatría</w:t>
        </w:r>
      </w:hyperlink>
      <w:r w:rsidR="00571BF9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5FB1D045" w14:textId="5E1415CF" w:rsidR="00571BF9" w:rsidRPr="00F02C7A" w:rsidRDefault="00F02C7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</w:pPr>
      <w:r w:rsidRPr="00F02C7A"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  <w:t xml:space="preserve">Las ITS </w:t>
      </w:r>
      <w:r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  <w:t xml:space="preserve">crecen </w:t>
      </w:r>
      <w:r w:rsidRPr="00F02C7A"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  <w:t xml:space="preserve">en </w:t>
      </w:r>
      <w:r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  <w:t>el mundo, en Europa y en España</w:t>
      </w:r>
    </w:p>
    <w:p w14:paraId="60C9C3C2" w14:textId="11EBACD7" w:rsidR="00F02C7A" w:rsidRDefault="00F02C7A" w:rsidP="00F02C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  <w:r w:rsidRPr="00F02C7A">
        <w:rPr>
          <w:rFonts w:ascii="Calibri" w:eastAsia="Calibri" w:hAnsi="Calibri" w:cs="Calibri"/>
          <w:color w:val="222222"/>
          <w:sz w:val="22"/>
          <w:szCs w:val="22"/>
        </w:rPr>
        <w:t>Las estimaciones sobre los nuevos casos de ITS de la O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rganización 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M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undial de la 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S</w:t>
      </w:r>
      <w:r>
        <w:rPr>
          <w:rFonts w:ascii="Calibri" w:eastAsia="Calibri" w:hAnsi="Calibri" w:cs="Calibri"/>
          <w:color w:val="222222"/>
          <w:sz w:val="22"/>
          <w:szCs w:val="22"/>
        </w:rPr>
        <w:t>alud cifran en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 xml:space="preserve"> 376 millones de nuevas infecciones 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anuales 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 xml:space="preserve">de </w:t>
      </w:r>
      <w:r>
        <w:rPr>
          <w:rFonts w:ascii="Calibri" w:eastAsia="Calibri" w:hAnsi="Calibri" w:cs="Calibri"/>
          <w:color w:val="222222"/>
          <w:sz w:val="22"/>
          <w:szCs w:val="22"/>
        </w:rPr>
        <w:t>c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lam</w:t>
      </w:r>
      <w:r w:rsidR="003A3BDD">
        <w:rPr>
          <w:rFonts w:ascii="Calibri" w:eastAsia="Calibri" w:hAnsi="Calibri" w:cs="Calibri"/>
          <w:color w:val="222222"/>
          <w:sz w:val="22"/>
          <w:szCs w:val="22"/>
        </w:rPr>
        <w:t>i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dia, gonorrea, sífilis y tricomoniasis</w:t>
      </w:r>
      <w:r>
        <w:rPr>
          <w:rFonts w:ascii="Calibri" w:eastAsia="Calibri" w:hAnsi="Calibri" w:cs="Calibri"/>
          <w:color w:val="222222"/>
          <w:sz w:val="22"/>
          <w:szCs w:val="22"/>
        </w:rPr>
        <w:t>, todas ellas curables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.</w:t>
      </w:r>
    </w:p>
    <w:p w14:paraId="26042656" w14:textId="77777777" w:rsidR="00F02C7A" w:rsidRDefault="00F02C7A" w:rsidP="00F02C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148FADA4" w14:textId="4743E68C" w:rsidR="00F02C7A" w:rsidRDefault="00F02C7A" w:rsidP="00F54A6D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Calibri" w:eastAsia="Calibri" w:hAnsi="Calibri" w:cs="Calibri"/>
          <w:color w:val="222222"/>
          <w:sz w:val="22"/>
          <w:szCs w:val="22"/>
        </w:rPr>
      </w:pPr>
      <w:r w:rsidRPr="00F02C7A">
        <w:rPr>
          <w:rFonts w:ascii="Calibri" w:eastAsia="Calibri" w:hAnsi="Calibri" w:cs="Calibri"/>
          <w:color w:val="222222"/>
          <w:sz w:val="22"/>
          <w:szCs w:val="22"/>
        </w:rPr>
        <w:lastRenderedPageBreak/>
        <w:t xml:space="preserve">Los datos analizados a nivel europeo según 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el </w:t>
      </w:r>
      <w:r w:rsidRPr="003A3BDD">
        <w:rPr>
          <w:rFonts w:ascii="Calibri" w:eastAsia="Calibri" w:hAnsi="Calibri" w:cs="Calibri"/>
          <w:i/>
          <w:iCs/>
          <w:color w:val="222222"/>
          <w:sz w:val="22"/>
          <w:szCs w:val="22"/>
        </w:rPr>
        <w:t>European Centre for Disease Prevention and Control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 </w:t>
      </w:r>
      <w:r>
        <w:rPr>
          <w:rFonts w:ascii="Calibri" w:eastAsia="Calibri" w:hAnsi="Calibri" w:cs="Calibri"/>
          <w:color w:val="222222"/>
          <w:sz w:val="22"/>
          <w:szCs w:val="22"/>
        </w:rPr>
        <w:t>(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ECDC</w:t>
      </w:r>
      <w:r>
        <w:rPr>
          <w:rFonts w:ascii="Calibri" w:eastAsia="Calibri" w:hAnsi="Calibri" w:cs="Calibri"/>
          <w:color w:val="222222"/>
          <w:sz w:val="22"/>
          <w:szCs w:val="22"/>
        </w:rPr>
        <w:t>)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 xml:space="preserve"> indican también unas cifras que van en aumento, notificándose en el año 2023 un total de 434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 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727 casos de infecciones por </w:t>
      </w:r>
      <w:r>
        <w:rPr>
          <w:rFonts w:ascii="Calibri" w:eastAsia="Calibri" w:hAnsi="Calibri" w:cs="Calibri"/>
          <w:color w:val="222222"/>
          <w:sz w:val="22"/>
          <w:szCs w:val="22"/>
        </w:rPr>
        <w:t>c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lam</w:t>
      </w:r>
      <w:r w:rsidR="003A3BDD">
        <w:rPr>
          <w:rFonts w:ascii="Calibri" w:eastAsia="Calibri" w:hAnsi="Calibri" w:cs="Calibri"/>
          <w:color w:val="222222"/>
          <w:sz w:val="22"/>
          <w:szCs w:val="22"/>
        </w:rPr>
        <w:t>i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 xml:space="preserve">dia, siendo el grupo más afectado el de las mujeres de 15 a 25 años. Con respecto a la gonorrea, en 2023 se describe en Europa un aumento de un 31% con relación a 2022 y más del 300% con relación a 2014, afectando de manera considerable a la población joven y adolescente y existiendo un grave problema añadido que es la emergencia de resistencias a los antimicrobianos. </w:t>
      </w:r>
    </w:p>
    <w:p w14:paraId="49E533AE" w14:textId="77777777" w:rsidR="00F02C7A" w:rsidRDefault="00F02C7A" w:rsidP="00F02C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704BF7FD" w14:textId="40A6F4CD" w:rsidR="00F02C7A" w:rsidRPr="00F02C7A" w:rsidRDefault="00F02C7A" w:rsidP="00F02C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  <w:r w:rsidRPr="00F02C7A">
        <w:rPr>
          <w:rFonts w:ascii="Calibri" w:eastAsia="Calibri" w:hAnsi="Calibri" w:cs="Calibri"/>
          <w:color w:val="222222"/>
          <w:sz w:val="22"/>
          <w:szCs w:val="22"/>
        </w:rPr>
        <w:t xml:space="preserve">En nuestro </w:t>
      </w:r>
      <w:r>
        <w:rPr>
          <w:rFonts w:ascii="Calibri" w:eastAsia="Calibri" w:hAnsi="Calibri" w:cs="Calibri"/>
          <w:color w:val="222222"/>
          <w:sz w:val="22"/>
          <w:szCs w:val="22"/>
        </w:rPr>
        <w:t>país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 xml:space="preserve"> también han incrementado estas infecciones. </w:t>
      </w:r>
      <w:r>
        <w:rPr>
          <w:rFonts w:ascii="Calibri" w:eastAsia="Calibri" w:hAnsi="Calibri" w:cs="Calibri"/>
          <w:color w:val="222222"/>
          <w:sz w:val="22"/>
          <w:szCs w:val="22"/>
        </w:rPr>
        <w:t>Así, e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n el último boletín epidemiológico de vigilancia de ITS en España de 2023, se describe que las cifras mayores tanto de infección gonocócica como por </w:t>
      </w:r>
      <w:r>
        <w:rPr>
          <w:rFonts w:ascii="Calibri" w:eastAsia="Calibri" w:hAnsi="Calibri" w:cs="Calibri"/>
          <w:color w:val="222222"/>
          <w:sz w:val="22"/>
          <w:szCs w:val="22"/>
        </w:rPr>
        <w:t>c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lam</w:t>
      </w:r>
      <w:r w:rsidR="003A3BDD">
        <w:rPr>
          <w:rFonts w:ascii="Calibri" w:eastAsia="Calibri" w:hAnsi="Calibri" w:cs="Calibri"/>
          <w:color w:val="222222"/>
          <w:sz w:val="22"/>
          <w:szCs w:val="22"/>
        </w:rPr>
        <w:t>i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dia se dan en el grupo de edad de 20 a 24 años.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 Además, e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studios realizados sobre otras ITS, como el VIH, muestran que esta infección también está adquiriéndose en la población joven y se encuentra infradiagnosticada con relación a la población adulta. A nivel global, en 2021 se produjeron 410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 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000 nuevas infecciones VIH en jóvenes de entre 10 y 24 años, de los cuales 160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 </w:t>
      </w:r>
      <w:r w:rsidRPr="00F02C7A">
        <w:rPr>
          <w:rFonts w:ascii="Calibri" w:eastAsia="Calibri" w:hAnsi="Calibri" w:cs="Calibri"/>
          <w:color w:val="222222"/>
          <w:sz w:val="22"/>
          <w:szCs w:val="22"/>
        </w:rPr>
        <w:t>000 eran adolescentes de entre 10 y 19 años.</w:t>
      </w:r>
    </w:p>
    <w:p w14:paraId="6AD8DFA9" w14:textId="77777777" w:rsidR="00AD3C89" w:rsidRDefault="00AD3C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4366"/>
          <w:sz w:val="18"/>
          <w:szCs w:val="18"/>
        </w:rPr>
      </w:pPr>
    </w:p>
    <w:p w14:paraId="0293EFCB" w14:textId="14B84564" w:rsidR="00F02C7A" w:rsidRPr="00F02C7A" w:rsidRDefault="00911DC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  <w:t>Cuatro factores</w:t>
      </w:r>
      <w:r w:rsidR="00F02C7A"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  <w:t xml:space="preserve"> </w:t>
      </w:r>
      <w:r w:rsidR="00F02C7A" w:rsidRPr="00F02C7A"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  <w:t xml:space="preserve">explican el </w:t>
      </w:r>
      <w:r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  <w:t>incremento</w:t>
      </w:r>
      <w:r w:rsidR="00F02C7A" w:rsidRPr="00F02C7A"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  <w:t xml:space="preserve"> de las ITS</w:t>
      </w:r>
      <w:r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  <w:t xml:space="preserve"> en la adolescencia</w:t>
      </w:r>
    </w:p>
    <w:p w14:paraId="18C8CC99" w14:textId="77777777" w:rsidR="00AD3C89" w:rsidRDefault="00AD3C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4366"/>
          <w:sz w:val="18"/>
          <w:szCs w:val="18"/>
        </w:rPr>
      </w:pPr>
    </w:p>
    <w:p w14:paraId="737A0595" w14:textId="569DF3D2" w:rsidR="00A374D2" w:rsidRDefault="00F02C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Nuestra sociedad está en continua evolución y los adolescentes de hoy inician la actividad sexual cada vez más temprano, encontrándose la media</w:t>
      </w:r>
      <w:r w:rsidR="00A374D2">
        <w:rPr>
          <w:rFonts w:ascii="Calibri" w:eastAsia="Calibri" w:hAnsi="Calibri" w:cs="Calibri"/>
          <w:color w:val="222222"/>
          <w:sz w:val="22"/>
          <w:szCs w:val="22"/>
        </w:rPr>
        <w:t xml:space="preserve"> actualmente en 16,2 años. Además, existe una tendencia hacia el aumento del número de parejas sexuales, así como a la disminución del uso de métodos de barrera, y al consumo de sustancias durante las relaciones sexuales, según el informe </w:t>
      </w:r>
      <w:r w:rsidR="00A374D2" w:rsidRPr="003A3BDD">
        <w:rPr>
          <w:rFonts w:ascii="Calibri" w:eastAsia="Calibri" w:hAnsi="Calibri" w:cs="Calibri"/>
          <w:i/>
          <w:iCs/>
          <w:color w:val="222222"/>
          <w:sz w:val="22"/>
          <w:szCs w:val="22"/>
        </w:rPr>
        <w:t>Juventud en España 2020</w:t>
      </w:r>
      <w:r w:rsidR="00A374D2">
        <w:rPr>
          <w:rFonts w:ascii="Calibri" w:eastAsia="Calibri" w:hAnsi="Calibri" w:cs="Calibri"/>
          <w:color w:val="222222"/>
          <w:sz w:val="22"/>
          <w:szCs w:val="22"/>
        </w:rPr>
        <w:t>.</w:t>
      </w:r>
    </w:p>
    <w:p w14:paraId="79FBD612" w14:textId="77777777" w:rsidR="00A374D2" w:rsidRDefault="00A374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38A625D1" w14:textId="644DABE4" w:rsidR="00A374D2" w:rsidRDefault="00A374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“</w:t>
      </w:r>
      <w:r w:rsidRPr="00A374D2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Lamentablemente, los adolescentes inician sus relaciones sin suficiente información ni educación sexual integral, </w:t>
      </w:r>
      <w:r>
        <w:rPr>
          <w:rFonts w:ascii="Calibri" w:eastAsia="Calibri" w:hAnsi="Calibri" w:cs="Calibri"/>
          <w:i/>
          <w:iCs/>
          <w:color w:val="222222"/>
          <w:sz w:val="22"/>
          <w:szCs w:val="22"/>
        </w:rPr>
        <w:t>careciendo de los suficientes conocimientos sobre prevención,</w:t>
      </w:r>
      <w:r w:rsidRPr="00A374D2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 </w:t>
      </w:r>
      <w:r w:rsidR="00911DCC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lo </w:t>
      </w:r>
      <w:r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que sin duda </w:t>
      </w:r>
      <w:r w:rsidR="00911DCC">
        <w:rPr>
          <w:rFonts w:ascii="Calibri" w:eastAsia="Calibri" w:hAnsi="Calibri" w:cs="Calibri"/>
          <w:i/>
          <w:iCs/>
          <w:color w:val="222222"/>
          <w:sz w:val="22"/>
          <w:szCs w:val="22"/>
        </w:rPr>
        <w:t>no ayuda</w:t>
      </w:r>
      <w:r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 a frenar las ITS</w:t>
      </w:r>
      <w:r w:rsidR="00F54A6D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. </w:t>
      </w:r>
      <w:r w:rsidR="00F54A6D" w:rsidRPr="00F54A6D">
        <w:rPr>
          <w:rFonts w:ascii="Calibri" w:eastAsia="Calibri" w:hAnsi="Calibri" w:cs="Calibri"/>
          <w:i/>
          <w:iCs/>
          <w:color w:val="222222"/>
          <w:sz w:val="22"/>
          <w:szCs w:val="22"/>
        </w:rPr>
        <w:t> </w:t>
      </w:r>
      <w:r w:rsidR="00F54A6D">
        <w:rPr>
          <w:rFonts w:ascii="Calibri" w:eastAsia="Calibri" w:hAnsi="Calibri" w:cs="Calibri"/>
          <w:i/>
          <w:iCs/>
          <w:color w:val="222222"/>
          <w:sz w:val="22"/>
          <w:szCs w:val="22"/>
        </w:rPr>
        <w:t>L</w:t>
      </w:r>
      <w:r w:rsidR="00F54A6D" w:rsidRPr="00F54A6D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a sexualidad es un tabú en la sociedad </w:t>
      </w:r>
      <w:r w:rsidR="00F54A6D">
        <w:rPr>
          <w:rFonts w:ascii="Calibri" w:eastAsia="Calibri" w:hAnsi="Calibri" w:cs="Calibri"/>
          <w:i/>
          <w:iCs/>
          <w:color w:val="222222"/>
          <w:sz w:val="22"/>
          <w:szCs w:val="22"/>
        </w:rPr>
        <w:t>y eso</w:t>
      </w:r>
      <w:r w:rsidR="00F54A6D" w:rsidRPr="00F54A6D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 dificulta que los adolescentes adquieran una educación sobre la salud sexual integral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”, expone la doctora </w:t>
      </w:r>
      <w:r w:rsidRPr="00A374D2">
        <w:rPr>
          <w:rFonts w:ascii="Calibri" w:eastAsia="Calibri" w:hAnsi="Calibri" w:cs="Calibri"/>
          <w:b/>
          <w:bCs/>
          <w:color w:val="222222"/>
          <w:sz w:val="22"/>
          <w:szCs w:val="22"/>
        </w:rPr>
        <w:t>María Luisa Navarro Gómez</w:t>
      </w:r>
      <w:r>
        <w:rPr>
          <w:rFonts w:ascii="Calibri" w:eastAsia="Calibri" w:hAnsi="Calibri" w:cs="Calibri"/>
          <w:color w:val="222222"/>
          <w:sz w:val="22"/>
          <w:szCs w:val="22"/>
        </w:rPr>
        <w:t>, pediatra del</w:t>
      </w:r>
      <w:r w:rsidRPr="00A374D2">
        <w:rPr>
          <w:rFonts w:ascii="Calibri" w:eastAsia="Calibri" w:hAnsi="Calibri" w:cs="Calibri"/>
          <w:color w:val="222222"/>
          <w:sz w:val="22"/>
          <w:szCs w:val="22"/>
        </w:rPr>
        <w:t xml:space="preserve"> Hospital General Universitario Gregorio Marañón </w:t>
      </w:r>
      <w:r>
        <w:rPr>
          <w:rFonts w:ascii="Calibri" w:eastAsia="Calibri" w:hAnsi="Calibri" w:cs="Calibri"/>
          <w:color w:val="222222"/>
          <w:sz w:val="22"/>
          <w:szCs w:val="22"/>
        </w:rPr>
        <w:t>y primera firmante del editorial. Además, “</w:t>
      </w:r>
      <w:r w:rsidRPr="00A374D2">
        <w:rPr>
          <w:rFonts w:ascii="Calibri" w:eastAsia="Calibri" w:hAnsi="Calibri" w:cs="Calibri"/>
          <w:i/>
          <w:iCs/>
          <w:color w:val="222222"/>
          <w:sz w:val="22"/>
          <w:szCs w:val="22"/>
        </w:rPr>
        <w:t>el acceso a redes sociales a edades tempranas facilita el consumo de pornografía, distorsionando su visión de la sexualidad</w:t>
      </w:r>
      <w:r>
        <w:rPr>
          <w:rFonts w:ascii="Calibri" w:eastAsia="Calibri" w:hAnsi="Calibri" w:cs="Calibri"/>
          <w:color w:val="222222"/>
          <w:sz w:val="22"/>
          <w:szCs w:val="22"/>
        </w:rPr>
        <w:t>”.</w:t>
      </w:r>
    </w:p>
    <w:p w14:paraId="2FBDECDF" w14:textId="77777777" w:rsidR="00A374D2" w:rsidRDefault="00A374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2BB45CE5" w14:textId="7133F325" w:rsidR="00AD3C89" w:rsidRPr="00911DCC" w:rsidRDefault="000A4E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color w:val="004366"/>
          <w:sz w:val="22"/>
          <w:szCs w:val="22"/>
          <w:highlight w:val="white"/>
        </w:rPr>
        <w:t>Estrategias para frenar la tendencia ascendente</w:t>
      </w:r>
    </w:p>
    <w:p w14:paraId="3F94DDAF" w14:textId="77777777" w:rsidR="00911DCC" w:rsidRDefault="00911DC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6AB067FF" w14:textId="77777777" w:rsidR="00411AC3" w:rsidRDefault="00D503AB" w:rsidP="000A4E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En España actualmente</w:t>
      </w:r>
      <w:r w:rsidR="000A4EF2" w:rsidRPr="000A4EF2">
        <w:rPr>
          <w:rFonts w:ascii="Calibri" w:eastAsia="Calibri" w:hAnsi="Calibri" w:cs="Calibri"/>
          <w:color w:val="222222"/>
          <w:sz w:val="22"/>
          <w:szCs w:val="22"/>
        </w:rPr>
        <w:t xml:space="preserve"> no hay protocolos uniformes 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para el cribado en adolescentes sexualmente activos, una medida que defienden organismos como la </w:t>
      </w:r>
      <w:r w:rsidRPr="00D503AB">
        <w:rPr>
          <w:rFonts w:ascii="Calibri" w:eastAsia="Calibri" w:hAnsi="Calibri" w:cs="Calibri"/>
          <w:color w:val="222222"/>
          <w:sz w:val="22"/>
          <w:szCs w:val="22"/>
        </w:rPr>
        <w:t>Academia Americana de Pediatría (AAP</w:t>
      </w:r>
      <w:r>
        <w:rPr>
          <w:rFonts w:ascii="Calibri" w:eastAsia="Calibri" w:hAnsi="Calibri" w:cs="Calibri"/>
          <w:color w:val="222222"/>
          <w:sz w:val="22"/>
          <w:szCs w:val="22"/>
        </w:rPr>
        <w:t>). En nuestro país</w:t>
      </w:r>
      <w:r w:rsidR="001074CB">
        <w:rPr>
          <w:rFonts w:ascii="Calibri" w:eastAsia="Calibri" w:hAnsi="Calibri" w:cs="Calibri"/>
          <w:color w:val="222222"/>
          <w:sz w:val="22"/>
          <w:szCs w:val="22"/>
        </w:rPr>
        <w:t>,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 esta a</w:t>
      </w:r>
      <w:r w:rsidR="000A4EF2" w:rsidRPr="000A4EF2">
        <w:rPr>
          <w:rFonts w:ascii="Calibri" w:eastAsia="Calibri" w:hAnsi="Calibri" w:cs="Calibri"/>
          <w:color w:val="222222"/>
          <w:sz w:val="22"/>
          <w:szCs w:val="22"/>
        </w:rPr>
        <w:t xml:space="preserve">tención se realiza </w:t>
      </w:r>
      <w:r w:rsidR="001074CB">
        <w:rPr>
          <w:rFonts w:ascii="Calibri" w:eastAsia="Calibri" w:hAnsi="Calibri" w:cs="Calibri"/>
          <w:color w:val="222222"/>
          <w:sz w:val="22"/>
          <w:szCs w:val="22"/>
        </w:rPr>
        <w:t xml:space="preserve">de manera reactiva </w:t>
      </w:r>
      <w:r w:rsidR="000A4EF2" w:rsidRPr="000A4EF2">
        <w:rPr>
          <w:rFonts w:ascii="Calibri" w:eastAsia="Calibri" w:hAnsi="Calibri" w:cs="Calibri"/>
          <w:color w:val="222222"/>
          <w:sz w:val="22"/>
          <w:szCs w:val="22"/>
        </w:rPr>
        <w:t>en centros hospitalarios, lugares especializados en ITS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 - </w:t>
      </w:r>
      <w:r w:rsidR="000A4EF2" w:rsidRPr="000A4EF2">
        <w:rPr>
          <w:rFonts w:ascii="Calibri" w:eastAsia="Calibri" w:hAnsi="Calibri" w:cs="Calibri"/>
          <w:color w:val="222222"/>
          <w:sz w:val="22"/>
          <w:szCs w:val="22"/>
        </w:rPr>
        <w:t>donde pueden existir o no consultas específicas para adolescentes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 -</w:t>
      </w:r>
      <w:r w:rsidR="000A4EF2" w:rsidRPr="000A4EF2">
        <w:rPr>
          <w:rFonts w:ascii="Calibri" w:eastAsia="Calibri" w:hAnsi="Calibri" w:cs="Calibri"/>
          <w:color w:val="222222"/>
          <w:sz w:val="22"/>
          <w:szCs w:val="22"/>
        </w:rPr>
        <w:t xml:space="preserve"> y centros de atención especializados de adolescentes</w:t>
      </w:r>
      <w:r>
        <w:rPr>
          <w:rFonts w:ascii="Calibri" w:eastAsia="Calibri" w:hAnsi="Calibri" w:cs="Calibri"/>
          <w:color w:val="222222"/>
          <w:sz w:val="22"/>
          <w:szCs w:val="22"/>
        </w:rPr>
        <w:t>,</w:t>
      </w:r>
      <w:r w:rsidR="000A4EF2" w:rsidRPr="000A4EF2">
        <w:rPr>
          <w:rFonts w:ascii="Calibri" w:eastAsia="Calibri" w:hAnsi="Calibri" w:cs="Calibri"/>
          <w:color w:val="222222"/>
          <w:sz w:val="22"/>
          <w:szCs w:val="22"/>
        </w:rPr>
        <w:t xml:space="preserve"> donde se prioriza una atención directa</w:t>
      </w:r>
      <w:r>
        <w:rPr>
          <w:rFonts w:ascii="Calibri" w:eastAsia="Calibri" w:hAnsi="Calibri" w:cs="Calibri"/>
          <w:color w:val="222222"/>
          <w:sz w:val="22"/>
          <w:szCs w:val="22"/>
        </w:rPr>
        <w:t>,</w:t>
      </w:r>
      <w:r w:rsidR="000A4EF2" w:rsidRPr="000A4EF2">
        <w:rPr>
          <w:rFonts w:ascii="Calibri" w:eastAsia="Calibri" w:hAnsi="Calibri" w:cs="Calibri"/>
          <w:color w:val="222222"/>
          <w:sz w:val="22"/>
          <w:szCs w:val="22"/>
        </w:rPr>
        <w:t xml:space="preserve"> guardando la confidencialidad, sin necesidad de acompañamiento por parte del adulto responsable.</w:t>
      </w:r>
      <w:r w:rsidR="001074CB">
        <w:rPr>
          <w:rFonts w:ascii="Calibri" w:eastAsia="Calibri" w:hAnsi="Calibri" w:cs="Calibri"/>
          <w:color w:val="222222"/>
          <w:sz w:val="22"/>
          <w:szCs w:val="22"/>
        </w:rPr>
        <w:t xml:space="preserve"> </w:t>
      </w:r>
    </w:p>
    <w:p w14:paraId="6CF64DB4" w14:textId="77777777" w:rsidR="00411AC3" w:rsidRDefault="00411AC3" w:rsidP="000A4E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73BDC07C" w14:textId="51319793" w:rsidR="00F02C7A" w:rsidRDefault="001074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  <w:r>
        <w:rPr>
          <w:rFonts w:ascii="Calibri" w:eastAsia="Calibri" w:hAnsi="Calibri" w:cs="Calibri"/>
          <w:color w:val="222222"/>
          <w:sz w:val="22"/>
          <w:szCs w:val="22"/>
        </w:rPr>
        <w:t>“</w:t>
      </w:r>
      <w:r w:rsidRPr="001074CB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Es cierto que se están implantando pruebas rápidas en </w:t>
      </w:r>
      <w:r w:rsidR="00411AC3">
        <w:rPr>
          <w:rFonts w:ascii="Calibri" w:eastAsia="Calibri" w:hAnsi="Calibri" w:cs="Calibri"/>
          <w:i/>
          <w:iCs/>
          <w:color w:val="222222"/>
          <w:sz w:val="22"/>
          <w:szCs w:val="22"/>
        </w:rPr>
        <w:t>los</w:t>
      </w:r>
      <w:r w:rsidRPr="001074CB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 punto</w:t>
      </w:r>
      <w:r w:rsidR="00411AC3">
        <w:rPr>
          <w:rFonts w:ascii="Calibri" w:eastAsia="Calibri" w:hAnsi="Calibri" w:cs="Calibri"/>
          <w:i/>
          <w:iCs/>
          <w:color w:val="222222"/>
          <w:sz w:val="22"/>
          <w:szCs w:val="22"/>
        </w:rPr>
        <w:t>s</w:t>
      </w:r>
      <w:r w:rsidRPr="001074CB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 de atención, pero éstas no están adaptadas a la población adolescente</w:t>
      </w:r>
      <w:r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” </w:t>
      </w:r>
      <w:r w:rsidRPr="001074CB">
        <w:rPr>
          <w:rFonts w:ascii="Calibri" w:eastAsia="Calibri" w:hAnsi="Calibri" w:cs="Calibri"/>
          <w:color w:val="222222"/>
          <w:sz w:val="22"/>
          <w:szCs w:val="22"/>
        </w:rPr>
        <w:t xml:space="preserve">explica la </w:t>
      </w:r>
      <w:r w:rsidR="003A3BDD">
        <w:rPr>
          <w:rFonts w:ascii="Calibri" w:eastAsia="Calibri" w:hAnsi="Calibri" w:cs="Calibri"/>
          <w:color w:val="222222"/>
          <w:sz w:val="22"/>
          <w:szCs w:val="22"/>
        </w:rPr>
        <w:t>doctora</w:t>
      </w:r>
      <w:r w:rsidRPr="001074CB">
        <w:rPr>
          <w:rFonts w:ascii="Calibri" w:eastAsia="Calibri" w:hAnsi="Calibri" w:cs="Calibri"/>
          <w:color w:val="222222"/>
          <w:sz w:val="22"/>
          <w:szCs w:val="22"/>
        </w:rPr>
        <w:t xml:space="preserve"> Navarro. </w:t>
      </w:r>
      <w:r>
        <w:rPr>
          <w:rFonts w:ascii="Calibri" w:eastAsia="Calibri" w:hAnsi="Calibri" w:cs="Calibri"/>
          <w:i/>
          <w:iCs/>
          <w:color w:val="222222"/>
          <w:sz w:val="22"/>
          <w:szCs w:val="22"/>
        </w:rPr>
        <w:t>“Deberían</w:t>
      </w:r>
      <w:r w:rsidRPr="001074CB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 diseñarse</w:t>
      </w:r>
      <w:r w:rsidR="00FB1721">
        <w:rPr>
          <w:rFonts w:ascii="Calibri" w:eastAsia="Calibri" w:hAnsi="Calibri" w:cs="Calibri"/>
          <w:i/>
          <w:iCs/>
          <w:color w:val="222222"/>
          <w:sz w:val="22"/>
          <w:szCs w:val="22"/>
        </w:rPr>
        <w:t>, además,</w:t>
      </w:r>
      <w:r w:rsidRPr="001074CB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 </w:t>
      </w:r>
      <w:r w:rsidR="00FB1721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campañas </w:t>
      </w:r>
      <w:r w:rsidRPr="001074CB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para proporcionarles conocimientos sobre las ITS e información sobre dónde realizarse </w:t>
      </w:r>
      <w:r w:rsidR="00FB1721">
        <w:rPr>
          <w:rFonts w:ascii="Calibri" w:eastAsia="Calibri" w:hAnsi="Calibri" w:cs="Calibri"/>
          <w:i/>
          <w:iCs/>
          <w:color w:val="222222"/>
          <w:sz w:val="22"/>
          <w:szCs w:val="22"/>
        </w:rPr>
        <w:t>estas</w:t>
      </w:r>
      <w:r w:rsidRPr="001074CB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 pruebas</w:t>
      </w:r>
      <w:r>
        <w:rPr>
          <w:rFonts w:ascii="Calibri" w:eastAsia="Calibri" w:hAnsi="Calibri" w:cs="Calibri"/>
          <w:color w:val="222222"/>
          <w:sz w:val="22"/>
          <w:szCs w:val="22"/>
        </w:rPr>
        <w:t xml:space="preserve">”, añade. </w:t>
      </w:r>
      <w:r w:rsidR="00411AC3">
        <w:rPr>
          <w:rFonts w:ascii="Calibri" w:eastAsia="Calibri" w:hAnsi="Calibri" w:cs="Calibri"/>
          <w:color w:val="222222"/>
          <w:sz w:val="22"/>
          <w:szCs w:val="22"/>
        </w:rPr>
        <w:t>“</w:t>
      </w:r>
      <w:r w:rsidRPr="00411AC3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El empleo de herramientas digitales </w:t>
      </w:r>
      <w:r w:rsidR="00411AC3" w:rsidRPr="00411AC3">
        <w:rPr>
          <w:rFonts w:ascii="Calibri" w:eastAsia="Calibri" w:hAnsi="Calibri" w:cs="Calibri"/>
          <w:i/>
          <w:iCs/>
          <w:color w:val="222222"/>
          <w:sz w:val="22"/>
          <w:szCs w:val="22"/>
        </w:rPr>
        <w:t>podría</w:t>
      </w:r>
      <w:r w:rsidRPr="00411AC3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 ser una vía útil</w:t>
      </w:r>
      <w:r w:rsidR="00411AC3" w:rsidRPr="00411AC3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, </w:t>
      </w:r>
      <w:r w:rsidRPr="00411AC3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desde redes sociales </w:t>
      </w:r>
      <w:r w:rsidR="00411AC3" w:rsidRPr="00411AC3">
        <w:rPr>
          <w:rFonts w:ascii="Calibri" w:eastAsia="Calibri" w:hAnsi="Calibri" w:cs="Calibri"/>
          <w:i/>
          <w:iCs/>
          <w:color w:val="222222"/>
          <w:sz w:val="22"/>
          <w:szCs w:val="22"/>
        </w:rPr>
        <w:t>a</w:t>
      </w:r>
      <w:r w:rsidRPr="00411AC3">
        <w:rPr>
          <w:rFonts w:ascii="Calibri" w:eastAsia="Calibri" w:hAnsi="Calibri" w:cs="Calibri"/>
          <w:i/>
          <w:iCs/>
          <w:color w:val="222222"/>
          <w:sz w:val="22"/>
          <w:szCs w:val="22"/>
        </w:rPr>
        <w:t xml:space="preserve"> otras innovaciones digitales</w:t>
      </w:r>
      <w:r w:rsidR="00411AC3" w:rsidRPr="00411AC3">
        <w:rPr>
          <w:rFonts w:ascii="Calibri" w:eastAsia="Calibri" w:hAnsi="Calibri" w:cs="Calibri"/>
          <w:i/>
          <w:iCs/>
          <w:color w:val="222222"/>
          <w:sz w:val="22"/>
          <w:szCs w:val="22"/>
        </w:rPr>
        <w:t>”</w:t>
      </w:r>
      <w:r w:rsidR="00411AC3">
        <w:rPr>
          <w:rFonts w:ascii="Calibri" w:eastAsia="Calibri" w:hAnsi="Calibri" w:cs="Calibri"/>
          <w:color w:val="222222"/>
          <w:sz w:val="22"/>
          <w:szCs w:val="22"/>
        </w:rPr>
        <w:t>, sugiere la especialista.</w:t>
      </w:r>
    </w:p>
    <w:p w14:paraId="5B1BD8FF" w14:textId="77777777" w:rsidR="00F02C7A" w:rsidRDefault="00F02C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222222"/>
          <w:sz w:val="22"/>
          <w:szCs w:val="22"/>
        </w:rPr>
      </w:pPr>
    </w:p>
    <w:p w14:paraId="5400F838" w14:textId="77777777" w:rsidR="00F02C7A" w:rsidRDefault="00F02C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4366"/>
          <w:sz w:val="18"/>
          <w:szCs w:val="18"/>
        </w:rPr>
      </w:pPr>
    </w:p>
    <w:p w14:paraId="415C8BF1" w14:textId="77777777" w:rsidR="00AD3C8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4366"/>
          <w:sz w:val="22"/>
          <w:szCs w:val="22"/>
        </w:rPr>
      </w:pPr>
      <w:r>
        <w:rPr>
          <w:rFonts w:ascii="Calibri" w:eastAsia="Calibri" w:hAnsi="Calibri" w:cs="Calibri"/>
          <w:b/>
          <w:color w:val="004366"/>
          <w:sz w:val="18"/>
          <w:szCs w:val="18"/>
        </w:rPr>
        <w:t>Sobre la Asociación Española de Pediatría </w:t>
      </w:r>
    </w:p>
    <w:p w14:paraId="167172B9" w14:textId="77777777" w:rsidR="00AD3C8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La Asociación Española de Pediatría es una sociedad científica que representa a</w:t>
      </w:r>
      <w:r>
        <w:rPr>
          <w:rFonts w:ascii="Calibri" w:eastAsia="Calibri" w:hAnsi="Calibri" w:cs="Calibri"/>
          <w:sz w:val="18"/>
          <w:szCs w:val="18"/>
        </w:rPr>
        <w:t xml:space="preserve"> más </w:t>
      </w:r>
      <w:r>
        <w:rPr>
          <w:rFonts w:ascii="Calibri" w:eastAsia="Calibri" w:hAnsi="Calibri" w:cs="Calibri"/>
          <w:color w:val="000000"/>
          <w:sz w:val="18"/>
          <w:szCs w:val="18"/>
        </w:rPr>
        <w:t>de 13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000 pediatras que trabajan tanto en el ámbito hospitalario como de atención primaria. Está integrada por todas las sociedades científicas de pediatría regionales y las sociedades de pediatría de las distintas especialidades. El principal objetivo de la asociación es velar por la adecuada atención </w:t>
      </w:r>
      <w:r>
        <w:rPr>
          <w:rFonts w:ascii="Calibri" w:eastAsia="Calibri" w:hAnsi="Calibri" w:cs="Calibri"/>
          <w:color w:val="000000"/>
          <w:sz w:val="18"/>
          <w:szCs w:val="18"/>
        </w:rPr>
        <w:lastRenderedPageBreak/>
        <w:t>sanitaria, fomentar el desarrollo de la especialidad, tanto en sus aspectos asistenciales como en los docentes y de investigación, además de asesorar a todas aquellas instituciones competentes en asuntos que puedan afectar o afecten a la salud, desarrollo e integridad del niño y del adolescente, así como divulgar e informar a la población sobre cuestiones de salud infantil.</w:t>
      </w:r>
    </w:p>
    <w:sectPr w:rsidR="00AD3C89">
      <w:headerReference w:type="default" r:id="rId11"/>
      <w:footerReference w:type="even" r:id="rId12"/>
      <w:footerReference w:type="default" r:id="rId13"/>
      <w:pgSz w:w="11900" w:h="16840"/>
      <w:pgMar w:top="1695" w:right="1126" w:bottom="1418" w:left="1134" w:header="567" w:footer="2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55B0B" w14:textId="77777777" w:rsidR="00842B5E" w:rsidRDefault="00842B5E">
      <w:r>
        <w:separator/>
      </w:r>
    </w:p>
  </w:endnote>
  <w:endnote w:type="continuationSeparator" w:id="0">
    <w:p w14:paraId="0EFBBEE8" w14:textId="77777777" w:rsidR="00842B5E" w:rsidRDefault="00842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A0C7FE3-FDF4-4307-9484-13FEC5B734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08F7F9B-187A-4B80-8B14-B187A8BEE2AE}"/>
    <w:embedBold r:id="rId3" w:fontKey="{3E8956D3-3D25-4BBD-BA45-BA30CBDCA1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DB130B5-EA76-4BED-BF53-CBE1BA6A3C82}"/>
    <w:embedItalic r:id="rId5" w:fontKey="{D92577ED-BCEC-423E-A1E1-8E4322B467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33AF2C7-6BA2-4E37-82A0-E8553248DE57}"/>
    <w:embedBold r:id="rId7" w:fontKey="{26A68CCE-A730-4132-B675-CD47F5ACCA55}"/>
    <w:embedItalic r:id="rId8" w:fontKey="{34ABF4A0-4BED-42C0-A1B7-F7DFDB20C32E}"/>
    <w:embedBoldItalic r:id="rId9" w:fontKey="{76F1BC19-525F-415E-B0CB-82B86665CA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0E96D19-A5D9-4643-9F6A-1B588F74D3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AFB3D" w14:textId="77777777" w:rsidR="00AD3C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0955277" w14:textId="77777777" w:rsidR="00AD3C89" w:rsidRDefault="00AD3C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79314" w14:textId="77777777" w:rsidR="00AD3C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A40D3">
      <w:rPr>
        <w:noProof/>
        <w:color w:val="000000"/>
      </w:rPr>
      <w:t>1</w:t>
    </w:r>
    <w:r>
      <w:rPr>
        <w:color w:val="000000"/>
      </w:rPr>
      <w:fldChar w:fldCharType="end"/>
    </w:r>
  </w:p>
  <w:p w14:paraId="1A922BE0" w14:textId="77777777" w:rsidR="00AD3C89" w:rsidRDefault="00000000">
    <w:pPr>
      <w:pBdr>
        <w:top w:val="single" w:sz="4" w:space="1" w:color="000000"/>
      </w:pBdr>
      <w:tabs>
        <w:tab w:val="right" w:pos="8730"/>
      </w:tabs>
      <w:ind w:right="360"/>
      <w:rPr>
        <w:rFonts w:ascii="Calibri" w:eastAsia="Calibri" w:hAnsi="Calibri" w:cs="Calibri"/>
        <w:color w:val="004366"/>
        <w:sz w:val="18"/>
        <w:szCs w:val="18"/>
      </w:rPr>
    </w:pPr>
    <w:r>
      <w:rPr>
        <w:rFonts w:ascii="Calibri" w:eastAsia="Calibri" w:hAnsi="Calibri" w:cs="Calibri"/>
        <w:b/>
        <w:color w:val="004366"/>
        <w:sz w:val="18"/>
        <w:szCs w:val="18"/>
      </w:rPr>
      <w:t>*Para más información. Gabinete de prensa de la AEP</w:t>
    </w:r>
    <w:r>
      <w:rPr>
        <w:rFonts w:ascii="Calibri" w:eastAsia="Calibri" w:hAnsi="Calibri" w:cs="Calibri"/>
        <w:b/>
        <w:color w:val="004366"/>
        <w:sz w:val="18"/>
        <w:szCs w:val="18"/>
      </w:rPr>
      <w:tab/>
    </w:r>
  </w:p>
  <w:p w14:paraId="74AA0065" w14:textId="77777777" w:rsidR="00AD3C89" w:rsidRDefault="00000000">
    <w:r>
      <w:rPr>
        <w:rFonts w:ascii="Calibri" w:eastAsia="Calibri" w:hAnsi="Calibri" w:cs="Calibri"/>
        <w:b/>
        <w:sz w:val="18"/>
        <w:szCs w:val="18"/>
      </w:rPr>
      <w:t>Eva Sahis</w:t>
    </w:r>
    <w:r>
      <w:rPr>
        <w:rFonts w:ascii="Calibri" w:eastAsia="Calibri" w:hAnsi="Calibri" w:cs="Calibri"/>
        <w:sz w:val="18"/>
        <w:szCs w:val="18"/>
      </w:rPr>
      <w:t xml:space="preserve"> </w:t>
    </w:r>
    <w:r>
      <w:rPr>
        <w:rFonts w:ascii="Arial" w:eastAsia="Arial" w:hAnsi="Arial" w:cs="Arial"/>
        <w:sz w:val="21"/>
        <w:szCs w:val="21"/>
      </w:rPr>
      <w:br/>
    </w:r>
    <w:r>
      <w:rPr>
        <w:rFonts w:ascii="Calibri" w:eastAsia="Calibri" w:hAnsi="Calibri" w:cs="Calibri"/>
        <w:sz w:val="18"/>
        <w:szCs w:val="18"/>
        <w:highlight w:val="white"/>
      </w:rPr>
      <w:t>Tel.: 636 395 724</w:t>
    </w:r>
    <w:r>
      <w:rPr>
        <w:rFonts w:ascii="Calibri" w:eastAsia="Calibri" w:hAnsi="Calibri" w:cs="Calibri"/>
        <w:sz w:val="18"/>
        <w:szCs w:val="18"/>
        <w:highlight w:val="white"/>
      </w:rPr>
      <w:tab/>
    </w:r>
    <w:r>
      <w:rPr>
        <w:rFonts w:ascii="Calibri" w:eastAsia="Calibri" w:hAnsi="Calibri" w:cs="Calibri"/>
        <w:sz w:val="18"/>
        <w:szCs w:val="18"/>
        <w:highlight w:val="white"/>
      </w:rPr>
      <w:tab/>
    </w:r>
    <w:r>
      <w:rPr>
        <w:rFonts w:ascii="Calibri" w:eastAsia="Calibri" w:hAnsi="Calibri" w:cs="Calibri"/>
        <w:sz w:val="18"/>
        <w:szCs w:val="18"/>
        <w:highlight w:val="white"/>
      </w:rPr>
      <w:tab/>
    </w:r>
    <w:r>
      <w:rPr>
        <w:rFonts w:ascii="Calibri" w:eastAsia="Calibri" w:hAnsi="Calibri" w:cs="Calibri"/>
        <w:sz w:val="18"/>
        <w:szCs w:val="18"/>
        <w:highlight w:val="white"/>
      </w:rPr>
      <w:tab/>
    </w:r>
    <w:r>
      <w:rPr>
        <w:rFonts w:ascii="Calibri" w:eastAsia="Calibri" w:hAnsi="Calibri" w:cs="Calibri"/>
        <w:sz w:val="18"/>
        <w:szCs w:val="18"/>
        <w:highlight w:val="white"/>
      </w:rPr>
      <w:tab/>
    </w:r>
    <w:r>
      <w:rPr>
        <w:rFonts w:ascii="Calibri" w:eastAsia="Calibri" w:hAnsi="Calibri" w:cs="Calibri"/>
        <w:sz w:val="18"/>
        <w:szCs w:val="18"/>
        <w:highlight w:val="white"/>
      </w:rPr>
      <w:tab/>
    </w:r>
    <w:r>
      <w:rPr>
        <w:rFonts w:ascii="Calibri" w:eastAsia="Calibri" w:hAnsi="Calibri" w:cs="Calibri"/>
        <w:sz w:val="18"/>
        <w:szCs w:val="18"/>
        <w:highlight w:val="white"/>
      </w:rPr>
      <w:tab/>
    </w:r>
    <w:r>
      <w:rPr>
        <w:rFonts w:ascii="Calibri" w:eastAsia="Calibri" w:hAnsi="Calibri" w:cs="Calibri"/>
        <w:sz w:val="18"/>
        <w:szCs w:val="18"/>
      </w:rPr>
      <w:t xml:space="preserve">                                            </w:t>
    </w:r>
    <w:hyperlink r:id="rId1">
      <w:r w:rsidR="00AD3C89">
        <w:rPr>
          <w:rFonts w:ascii="Calibri" w:eastAsia="Calibri" w:hAnsi="Calibri" w:cs="Calibri"/>
          <w:b/>
          <w:color w:val="00AEEF"/>
          <w:sz w:val="18"/>
          <w:szCs w:val="18"/>
          <w:u w:val="single"/>
        </w:rPr>
        <w:t>www.aeped.es</w:t>
      </w:r>
    </w:hyperlink>
    <w:r>
      <w:rPr>
        <w:rFonts w:ascii="Calibri" w:eastAsia="Calibri" w:hAnsi="Calibri" w:cs="Calibri"/>
        <w:b/>
        <w:color w:val="00AEEF"/>
        <w:sz w:val="18"/>
        <w:szCs w:val="18"/>
      </w:rPr>
      <w:t xml:space="preserve"> </w:t>
    </w:r>
    <w:r>
      <w:rPr>
        <w:rFonts w:ascii="Calibri" w:eastAsia="Calibri" w:hAnsi="Calibri" w:cs="Calibri"/>
        <w:sz w:val="18"/>
        <w:szCs w:val="18"/>
      </w:rPr>
      <w:br/>
    </w:r>
    <w:r>
      <w:rPr>
        <w:rFonts w:ascii="Calibri" w:eastAsia="Calibri" w:hAnsi="Calibri" w:cs="Calibri"/>
        <w:sz w:val="18"/>
        <w:szCs w:val="18"/>
        <w:highlight w:val="white"/>
      </w:rPr>
      <w:t>Email: </w:t>
    </w:r>
    <w:hyperlink r:id="rId2">
      <w:r w:rsidR="00AD3C89">
        <w:rPr>
          <w:rFonts w:ascii="Calibri" w:eastAsia="Calibri" w:hAnsi="Calibri" w:cs="Calibri"/>
          <w:color w:val="00AEEF"/>
          <w:sz w:val="18"/>
          <w:szCs w:val="18"/>
          <w:highlight w:val="white"/>
          <w:u w:val="single"/>
        </w:rPr>
        <w:t>eva.sahis@commstribe.com</w:t>
      </w:r>
    </w:hyperlink>
    <w:r>
      <w:rPr>
        <w:rFonts w:ascii="Calibri" w:eastAsia="Calibri" w:hAnsi="Calibri" w:cs="Calibri"/>
        <w:color w:val="205968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  <w:t xml:space="preserve">                                                              </w:t>
    </w:r>
    <w:hyperlink r:id="rId3">
      <w:r w:rsidR="00AD3C89">
        <w:rPr>
          <w:rFonts w:ascii="Calibri" w:eastAsia="Calibri" w:hAnsi="Calibri" w:cs="Calibri"/>
          <w:color w:val="00AEEF"/>
          <w:sz w:val="18"/>
          <w:szCs w:val="18"/>
          <w:u w:val="single"/>
        </w:rPr>
        <w:t>@aepediatria</w:t>
      </w:r>
    </w:hyperlink>
    <w:r>
      <w:rPr>
        <w:rFonts w:ascii="Calibri" w:eastAsia="Calibri" w:hAnsi="Calibri" w:cs="Calibri"/>
        <w:color w:val="00AEEF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  <w:r>
      <w:rPr>
        <w:rFonts w:ascii="Calibri" w:eastAsia="Calibri" w:hAnsi="Calibri" w:cs="Calibri"/>
        <w:sz w:val="18"/>
        <w:szCs w:val="18"/>
      </w:rPr>
      <w:tab/>
    </w:r>
  </w:p>
  <w:p w14:paraId="38DE2298" w14:textId="77777777" w:rsidR="00AD3C89" w:rsidRDefault="00AD3C8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ECAC0" w14:textId="77777777" w:rsidR="00842B5E" w:rsidRDefault="00842B5E">
      <w:r>
        <w:separator/>
      </w:r>
    </w:p>
  </w:footnote>
  <w:footnote w:type="continuationSeparator" w:id="0">
    <w:p w14:paraId="617E0497" w14:textId="77777777" w:rsidR="00842B5E" w:rsidRDefault="00842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9BC8E" w14:textId="0F0682AB" w:rsidR="00AD3C89" w:rsidRDefault="00F001CA">
    <w:pPr>
      <w:tabs>
        <w:tab w:val="left" w:pos="1965"/>
        <w:tab w:val="left" w:pos="3434"/>
      </w:tabs>
      <w:rPr>
        <w:rFonts w:ascii="Tahoma" w:eastAsia="Tahoma" w:hAnsi="Tahoma" w:cs="Tahoma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7CF91F2" wp14:editId="1498F16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682240" cy="493431"/>
          <wp:effectExtent l="0" t="0" r="3810" b="1905"/>
          <wp:wrapNone/>
          <wp:docPr id="884402198" name="image2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 que contiene 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2240" cy="4934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40D3">
      <w:rPr>
        <w:noProof/>
      </w:rPr>
      <w:drawing>
        <wp:anchor distT="0" distB="0" distL="114300" distR="114300" simplePos="0" relativeHeight="251658240" behindDoc="0" locked="0" layoutInCell="1" allowOverlap="1" wp14:anchorId="66503AC0" wp14:editId="1F876177">
          <wp:simplePos x="0" y="0"/>
          <wp:positionH relativeFrom="margin">
            <wp:align>right</wp:align>
          </wp:positionH>
          <wp:positionV relativeFrom="paragraph">
            <wp:posOffset>11430</wp:posOffset>
          </wp:positionV>
          <wp:extent cx="2122170" cy="640715"/>
          <wp:effectExtent l="0" t="0" r="0" b="6985"/>
          <wp:wrapNone/>
          <wp:docPr id="525282030" name="image1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El contenido generado por IA puede ser incorrecto."/>
                  <pic:cNvPicPr preferRelativeResize="0"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2170" cy="640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686E5F"/>
    <w:multiLevelType w:val="multilevel"/>
    <w:tmpl w:val="FAB69A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0524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C89"/>
    <w:rsid w:val="000A4EF2"/>
    <w:rsid w:val="000C18D4"/>
    <w:rsid w:val="001074CB"/>
    <w:rsid w:val="001D3633"/>
    <w:rsid w:val="002501AF"/>
    <w:rsid w:val="002C4C45"/>
    <w:rsid w:val="0033480B"/>
    <w:rsid w:val="003435FC"/>
    <w:rsid w:val="003A3BDD"/>
    <w:rsid w:val="00411AC3"/>
    <w:rsid w:val="004A40D3"/>
    <w:rsid w:val="00507EBD"/>
    <w:rsid w:val="00523B60"/>
    <w:rsid w:val="00571BF9"/>
    <w:rsid w:val="0077713D"/>
    <w:rsid w:val="00842B5E"/>
    <w:rsid w:val="00911DCC"/>
    <w:rsid w:val="00A374D2"/>
    <w:rsid w:val="00A703FB"/>
    <w:rsid w:val="00AC557D"/>
    <w:rsid w:val="00AC5DF5"/>
    <w:rsid w:val="00AD3C89"/>
    <w:rsid w:val="00B40F1A"/>
    <w:rsid w:val="00C335DF"/>
    <w:rsid w:val="00CE201C"/>
    <w:rsid w:val="00D33AD0"/>
    <w:rsid w:val="00D503AB"/>
    <w:rsid w:val="00F001CA"/>
    <w:rsid w:val="00F02C7A"/>
    <w:rsid w:val="00F54A6D"/>
    <w:rsid w:val="00FB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69042C"/>
  <w15:docId w15:val="{09A865C2-7955-4BFB-96BB-DCC173CFF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DF169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84D0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4D09"/>
  </w:style>
  <w:style w:type="paragraph" w:styleId="Piedepgina">
    <w:name w:val="footer"/>
    <w:basedOn w:val="Normal"/>
    <w:link w:val="PiedepginaCar"/>
    <w:uiPriority w:val="99"/>
    <w:unhideWhenUsed/>
    <w:rsid w:val="00884D0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84D09"/>
  </w:style>
  <w:style w:type="paragraph" w:styleId="NormalWeb">
    <w:name w:val="Normal (Web)"/>
    <w:basedOn w:val="Normal"/>
    <w:uiPriority w:val="99"/>
    <w:semiHidden/>
    <w:unhideWhenUsed/>
    <w:rsid w:val="003679B2"/>
    <w:rPr>
      <w:rFonts w:ascii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7E1DD5"/>
    <w:rPr>
      <w:b/>
      <w:bCs/>
    </w:rPr>
  </w:style>
  <w:style w:type="paragraph" w:styleId="Revisin">
    <w:name w:val="Revision"/>
    <w:hidden/>
    <w:uiPriority w:val="99"/>
    <w:semiHidden/>
    <w:rsid w:val="00D47ED5"/>
  </w:style>
  <w:style w:type="character" w:styleId="Hipervnculo">
    <w:name w:val="Hyperlink"/>
    <w:basedOn w:val="Fuentedeprrafopredeter"/>
    <w:uiPriority w:val="99"/>
    <w:unhideWhenUsed/>
    <w:rsid w:val="009E280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280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80423"/>
    <w:rPr>
      <w:rFonts w:asciiTheme="minorHAnsi" w:eastAsiaTheme="minorHAnsi" w:hAnsiTheme="minorHAnsi" w:cstheme="minorBid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A5499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5499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54998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F3BF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F3B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F3BF6"/>
    <w:rPr>
      <w:vertAlign w:val="superscript"/>
    </w:rPr>
  </w:style>
  <w:style w:type="table" w:customStyle="1" w:styleId="a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alesdepediatria.org/es-aumento-infecciones-transmision-sexual-adolescentes-articulo-S1695403325000633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aeped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nalesdepediatria.org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kDH+jCisx4IEMVpCHDAzMHDUwA==">CgMxLjA4AHIhMWF5dUJLbWVOdFpjMUEtN1Z0eE1LdmY2T3R0SDBlV2JU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1008</Words>
  <Characters>5414</Characters>
  <Application>Microsoft Office Word</Application>
  <DocSecurity>0</DocSecurity>
  <Lines>88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 Sahis Palome</cp:lastModifiedBy>
  <cp:revision>3</cp:revision>
  <dcterms:created xsi:type="dcterms:W3CDTF">2025-04-30T08:02:00Z</dcterms:created>
  <dcterms:modified xsi:type="dcterms:W3CDTF">2025-04-30T09:14:00Z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64d2257fd14cc0150867eebd746936afeff0813566a50a571319fa378a2fcd20</vt:lpwstr>
  </property>
</Properties>
</file>