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18" w:rsidRDefault="00DC3518" w:rsidP="00DC3518">
      <w:pPr>
        <w:jc w:val="both"/>
        <w:rPr>
          <w:rFonts w:cstheme="minorHAnsi"/>
          <w:b/>
          <w:bCs/>
          <w:sz w:val="28"/>
          <w:szCs w:val="28"/>
        </w:rPr>
      </w:pPr>
      <w:r w:rsidRPr="0036322A">
        <w:rPr>
          <w:rFonts w:asciiTheme="minorBidi" w:hAnsiTheme="minorBidi"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4522810</wp:posOffset>
            </wp:positionH>
            <wp:positionV relativeFrom="paragraph">
              <wp:posOffset>229</wp:posOffset>
            </wp:positionV>
            <wp:extent cx="904875" cy="140906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518" w:rsidRDefault="00DC3518" w:rsidP="00DC3518">
      <w:pPr>
        <w:jc w:val="both"/>
        <w:rPr>
          <w:rFonts w:cstheme="minorHAnsi"/>
          <w:b/>
          <w:bCs/>
          <w:sz w:val="28"/>
          <w:szCs w:val="28"/>
        </w:rPr>
      </w:pPr>
    </w:p>
    <w:p w:rsidR="00DC3518" w:rsidRDefault="00DC3518" w:rsidP="00DC3518">
      <w:pPr>
        <w:jc w:val="both"/>
        <w:rPr>
          <w:rFonts w:cstheme="minorHAnsi"/>
          <w:b/>
          <w:bCs/>
          <w:sz w:val="28"/>
          <w:szCs w:val="28"/>
        </w:rPr>
      </w:pPr>
    </w:p>
    <w:p w:rsidR="00DC3518" w:rsidRDefault="00DC3518" w:rsidP="00DC3518">
      <w:pPr>
        <w:jc w:val="both"/>
        <w:rPr>
          <w:rFonts w:cstheme="minorHAnsi"/>
          <w:b/>
          <w:bCs/>
          <w:sz w:val="28"/>
          <w:szCs w:val="28"/>
        </w:rPr>
      </w:pPr>
    </w:p>
    <w:p w:rsidR="00DC3518" w:rsidRDefault="00DC3518" w:rsidP="00DC3518">
      <w:pPr>
        <w:jc w:val="both"/>
        <w:rPr>
          <w:rFonts w:cstheme="minorHAnsi"/>
          <w:b/>
          <w:bCs/>
          <w:sz w:val="28"/>
          <w:szCs w:val="28"/>
        </w:rPr>
      </w:pPr>
    </w:p>
    <w:p w:rsidR="00DC3518" w:rsidRDefault="00DC3518" w:rsidP="00DC3518">
      <w:pPr>
        <w:jc w:val="both"/>
        <w:rPr>
          <w:rFonts w:cstheme="minorHAnsi"/>
          <w:b/>
          <w:bCs/>
          <w:sz w:val="28"/>
          <w:szCs w:val="28"/>
        </w:rPr>
      </w:pPr>
    </w:p>
    <w:p w:rsidR="00DC3518" w:rsidRDefault="00DC3518" w:rsidP="00DC3518">
      <w:pPr>
        <w:jc w:val="both"/>
        <w:rPr>
          <w:rFonts w:cstheme="minorHAnsi"/>
          <w:b/>
          <w:bCs/>
          <w:sz w:val="28"/>
          <w:szCs w:val="28"/>
        </w:rPr>
      </w:pPr>
    </w:p>
    <w:p w:rsidR="00DC3518" w:rsidRDefault="00DC3518" w:rsidP="00A428F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COMUNICADO OFICIAL DE LA</w:t>
      </w:r>
      <w:r w:rsidR="00727646">
        <w:rPr>
          <w:rFonts w:cstheme="minorHAnsi"/>
          <w:b/>
          <w:bCs/>
          <w:sz w:val="28"/>
          <w:szCs w:val="28"/>
        </w:rPr>
        <w:t xml:space="preserve"> </w:t>
      </w:r>
      <w:r w:rsidRPr="00DC3518">
        <w:rPr>
          <w:rFonts w:cstheme="minorHAnsi"/>
          <w:b/>
          <w:bCs/>
          <w:sz w:val="28"/>
          <w:szCs w:val="28"/>
        </w:rPr>
        <w:t>ASOCIACIÓN ESPAÑOLA DE PEDIATRÍA</w:t>
      </w:r>
    </w:p>
    <w:p w:rsidR="00A428F1" w:rsidRPr="00DC3518" w:rsidRDefault="00A428F1" w:rsidP="00A428F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RIESGO DE SARAMPIÓN EN VIAJES POR EUROPA</w:t>
      </w:r>
    </w:p>
    <w:p w:rsidR="00DC3518" w:rsidRPr="00FC1433" w:rsidRDefault="00DC3518" w:rsidP="00FC1433">
      <w:pPr>
        <w:jc w:val="both"/>
        <w:rPr>
          <w:rFonts w:cstheme="minorHAnsi"/>
          <w:sz w:val="22"/>
          <w:szCs w:val="22"/>
        </w:rPr>
      </w:pPr>
    </w:p>
    <w:p w:rsidR="00A428F1" w:rsidRPr="00A428F1" w:rsidRDefault="00A428F1" w:rsidP="00A428F1">
      <w:pPr>
        <w:pStyle w:val="m-8680611249147048682m-876677566755566301ydpfc877f99yiv5489456229ydp46c90800yiv4673579135gmail-m-7838490899217913917ydpf8eddfe8msonormal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HAnsi"/>
          <w:i/>
          <w:sz w:val="20"/>
          <w:szCs w:val="20"/>
          <w:lang w:val="es-ES_tradnl" w:eastAsia="zh-CN"/>
        </w:rPr>
      </w:pPr>
      <w:r w:rsidRPr="00A428F1">
        <w:rPr>
          <w:rFonts w:asciiTheme="minorHAnsi" w:eastAsiaTheme="minorEastAsia" w:hAnsiTheme="minorHAnsi" w:cstheme="minorHAnsi"/>
          <w:i/>
          <w:sz w:val="20"/>
          <w:szCs w:val="20"/>
          <w:lang w:val="es-ES_tradnl" w:eastAsia="zh-CN"/>
        </w:rPr>
        <w:t>En Europa continúa circulando el virus del sarampión, por lo que conviene comprobar la vacunación del sarampión antes de viajar</w:t>
      </w:r>
    </w:p>
    <w:p w:rsidR="00A428F1" w:rsidRPr="00A428F1" w:rsidRDefault="00A428F1" w:rsidP="00A428F1">
      <w:pPr>
        <w:pStyle w:val="m-8680611249147048682m-876677566755566301ydpfc877f99yiv5489456229ydp46c90800yiv4673579135gmail-m-7838490899217913917ydpf8eddfe8msonormal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t>Ante la difusión de noticias en relación con la vacunación frente al sarampión antes de viajar por Europa, la Asociación Española de Pediatría quiere hacer las siguientes precisiones.</w:t>
      </w:r>
    </w:p>
    <w:p w:rsidR="00A428F1" w:rsidRPr="00A428F1" w:rsidRDefault="00A428F1" w:rsidP="00A428F1">
      <w:pPr>
        <w:pStyle w:val="m-8680611249147048682m-876677566755566301ydpfc877f99yiv5489456229ydp46c90800yiv4673579135gmail-m-7838490899217913917ydpf8eddfe8msonormal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t>En primer lugar</w:t>
      </w:r>
      <w:r>
        <w:rPr>
          <w:rFonts w:ascii="Calibri" w:hAnsi="Calibri" w:cs="Calibri"/>
          <w:color w:val="222222"/>
          <w:sz w:val="22"/>
          <w:szCs w:val="22"/>
        </w:rPr>
        <w:t>,</w:t>
      </w:r>
      <w:r w:rsidRPr="00A428F1">
        <w:rPr>
          <w:rFonts w:ascii="Calibri" w:hAnsi="Calibri" w:cs="Calibri"/>
          <w:color w:val="222222"/>
          <w:sz w:val="22"/>
          <w:szCs w:val="22"/>
        </w:rPr>
        <w:t xml:space="preserve"> recordar que las coberturas </w:t>
      </w:r>
      <w:proofErr w:type="spellStart"/>
      <w:r w:rsidRPr="00A428F1">
        <w:rPr>
          <w:rFonts w:ascii="Calibri" w:hAnsi="Calibri" w:cs="Calibri"/>
          <w:color w:val="222222"/>
          <w:sz w:val="22"/>
          <w:szCs w:val="22"/>
        </w:rPr>
        <w:t>vacunales</w:t>
      </w:r>
      <w:proofErr w:type="spellEnd"/>
      <w:r w:rsidRPr="00A428F1">
        <w:rPr>
          <w:rFonts w:ascii="Calibri" w:hAnsi="Calibri" w:cs="Calibri"/>
          <w:color w:val="222222"/>
          <w:sz w:val="22"/>
          <w:szCs w:val="22"/>
        </w:rPr>
        <w:t xml:space="preserve"> en España son excelentes y</w:t>
      </w:r>
      <w:r>
        <w:rPr>
          <w:rFonts w:ascii="Calibri" w:hAnsi="Calibri" w:cs="Calibri"/>
          <w:color w:val="222222"/>
          <w:sz w:val="22"/>
          <w:szCs w:val="22"/>
        </w:rPr>
        <w:t>,</w:t>
      </w:r>
      <w:r w:rsidRPr="00A428F1">
        <w:rPr>
          <w:rFonts w:ascii="Calibri" w:hAnsi="Calibri" w:cs="Calibri"/>
          <w:color w:val="222222"/>
          <w:sz w:val="22"/>
          <w:szCs w:val="22"/>
        </w:rPr>
        <w:t xml:space="preserve"> por tanto, la 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>inmensa mayoría de los niños y adolescentes españoles están protegidos</w:t>
      </w:r>
      <w:r>
        <w:rPr>
          <w:rFonts w:ascii="Calibri" w:hAnsi="Calibri" w:cs="Calibri"/>
          <w:color w:val="222222"/>
          <w:sz w:val="22"/>
          <w:szCs w:val="22"/>
        </w:rPr>
        <w:t xml:space="preserve"> frente </w:t>
      </w:r>
      <w:r w:rsidRPr="00A428F1">
        <w:rPr>
          <w:rFonts w:ascii="Calibri" w:hAnsi="Calibri" w:cs="Calibri"/>
          <w:color w:val="222222"/>
          <w:sz w:val="22"/>
          <w:szCs w:val="22"/>
        </w:rPr>
        <w:t>a enfermedades como el sarampión, entre otras.</w:t>
      </w:r>
    </w:p>
    <w:p w:rsidR="00A428F1" w:rsidRPr="00A428F1" w:rsidRDefault="00A428F1" w:rsidP="00A428F1">
      <w:pPr>
        <w:pStyle w:val="m-8680611249147048682m-876677566755566301ydpfc877f99yiv5489456229ydp46c90800yiv4673579135gmail-m-7838490899217913917ydpf8eddfe8msonormal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t>En segundo lugar, recordar que 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 xml:space="preserve">cumplir el calendario </w:t>
      </w:r>
      <w:proofErr w:type="spellStart"/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>vacunal</w:t>
      </w:r>
      <w:proofErr w:type="spellEnd"/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 xml:space="preserve"> de la comunidad autónoma</w:t>
      </w:r>
      <w:r w:rsidRPr="00A428F1">
        <w:rPr>
          <w:rFonts w:ascii="Calibri" w:hAnsi="Calibri" w:cs="Calibri"/>
          <w:color w:val="222222"/>
          <w:sz w:val="22"/>
          <w:szCs w:val="22"/>
        </w:rPr>
        <w:t> de residencia es el mejor seguro contra enfermedades como el sarampión.</w:t>
      </w:r>
    </w:p>
    <w:p w:rsidR="00A428F1" w:rsidRPr="00A428F1" w:rsidRDefault="00A428F1" w:rsidP="00A428F1">
      <w:pPr>
        <w:pStyle w:val="m-8680611249147048682m-876677566755566301ydpfc877f99yiv5489456229ydp46c90800yiv4673579135gmail-m-7838490899217913917ydpf8eddfe8msonormal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t>Para todos los niños y adolescentes (así como para adultos) es conveniente revisar y comprobar que 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>antes de iniciar un viaje internacional</w:t>
      </w:r>
      <w:r w:rsidRPr="00A428F1">
        <w:rPr>
          <w:rFonts w:ascii="Calibri" w:hAnsi="Calibri" w:cs="Calibri"/>
          <w:color w:val="222222"/>
          <w:sz w:val="22"/>
          <w:szCs w:val="22"/>
        </w:rPr>
        <w:t> se tienen todas la</w:t>
      </w:r>
      <w:r w:rsidR="007F7AE2">
        <w:rPr>
          <w:rFonts w:ascii="Calibri" w:hAnsi="Calibri" w:cs="Calibri"/>
          <w:color w:val="222222"/>
          <w:sz w:val="22"/>
          <w:szCs w:val="22"/>
        </w:rPr>
        <w:t>s</w:t>
      </w:r>
      <w:r w:rsidRPr="00A428F1">
        <w:rPr>
          <w:rFonts w:ascii="Calibri" w:hAnsi="Calibri" w:cs="Calibri"/>
          <w:color w:val="222222"/>
          <w:sz w:val="22"/>
          <w:szCs w:val="22"/>
        </w:rPr>
        <w:t xml:space="preserve"> vacunas necesarias al día. Esta comprobación debe hacerse, idealmente, al menos 1-2 meses antes del viaje para poder asegurar poder recibir las vacunaciones necesarias con tiempo acudiendo a un centro de vacunación internacional.</w:t>
      </w:r>
    </w:p>
    <w:p w:rsidR="00A428F1" w:rsidRPr="00A428F1" w:rsidRDefault="00A428F1" w:rsidP="00A428F1">
      <w:pPr>
        <w:pStyle w:val="m-8680611249147048682m-876677566755566301ydpfc877f99yiv5489456229ydp46c90800yiv4673579135gmail-m-7838490899217913917ydpf8eddfe8msonormal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t>Los niños menores de 2 años, y especialmente 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>los menores de 12 meses, no se recomienda que hagan viajes de turismo a países tropicales</w:t>
      </w:r>
      <w:r w:rsidRPr="00A428F1">
        <w:rPr>
          <w:rFonts w:ascii="Calibri" w:hAnsi="Calibri" w:cs="Calibri"/>
          <w:color w:val="222222"/>
          <w:sz w:val="22"/>
          <w:szCs w:val="22"/>
        </w:rPr>
        <w:t>, pues sus vacunaciones están aún incompletas y el riesgo en algunos lugares es elevado.</w:t>
      </w:r>
    </w:p>
    <w:p w:rsidR="00A428F1" w:rsidRPr="00A428F1" w:rsidRDefault="00A428F1" w:rsidP="00A428F1">
      <w:pPr>
        <w:pStyle w:val="m-8680611249147048682m-876677566755566301ydpfc877f99yiv5489456229ydp46c90800yiv4673579135gmail-m-7838490899217913917ydpf8eddfe8msonormal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t>En 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 xml:space="preserve">algunos países de Europa se vive una situación </w:t>
      </w:r>
      <w:r w:rsidR="002903E4">
        <w:rPr>
          <w:rFonts w:ascii="Calibri" w:hAnsi="Calibri" w:cs="Calibri"/>
          <w:b/>
          <w:bCs/>
          <w:color w:val="222222"/>
          <w:sz w:val="22"/>
          <w:szCs w:val="22"/>
        </w:rPr>
        <w:t>preocupante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 xml:space="preserve"> por los casos de sarampión</w:t>
      </w:r>
      <w:r w:rsidRPr="00A428F1">
        <w:rPr>
          <w:rFonts w:ascii="Calibri" w:hAnsi="Calibri" w:cs="Calibri"/>
          <w:color w:val="222222"/>
          <w:sz w:val="22"/>
          <w:szCs w:val="22"/>
        </w:rPr>
        <w:t xml:space="preserve"> que sufren. Son sobre todo: Francia (casos de enero a mayo 2018: 2380), Grecia (2075), Italia (1715), Reino Unido (630) y Rumanía (504). En los últimos 12 meses </w:t>
      </w:r>
      <w:r>
        <w:rPr>
          <w:rFonts w:ascii="Calibri" w:hAnsi="Calibri" w:cs="Calibri"/>
          <w:color w:val="222222"/>
          <w:sz w:val="22"/>
          <w:szCs w:val="22"/>
        </w:rPr>
        <w:t xml:space="preserve">(junio 2017 a mayo 2018), según </w:t>
      </w:r>
      <w:r w:rsidRPr="00A428F1">
        <w:rPr>
          <w:rFonts w:ascii="Calibri" w:hAnsi="Calibri" w:cs="Calibri"/>
          <w:color w:val="222222"/>
          <w:sz w:val="22"/>
          <w:szCs w:val="22"/>
        </w:rPr>
        <w:t>el </w:t>
      </w:r>
      <w:hyperlink r:id="rId7" w:tgtFrame="_blank" w:history="1">
        <w:r w:rsidRPr="00A428F1">
          <w:rPr>
            <w:rStyle w:val="Hipervnculo"/>
            <w:rFonts w:ascii="Calibri" w:hAnsi="Calibri" w:cs="Calibri"/>
            <w:color w:val="196AD4"/>
            <w:sz w:val="22"/>
            <w:szCs w:val="22"/>
          </w:rPr>
          <w:t>ECDC</w:t>
        </w:r>
      </w:hyperlink>
      <w:r w:rsidRPr="00A428F1">
        <w:rPr>
          <w:rFonts w:ascii="Calibri" w:hAnsi="Calibri" w:cs="Calibri"/>
          <w:color w:val="222222"/>
          <w:sz w:val="22"/>
          <w:szCs w:val="22"/>
        </w:rPr>
        <w:t> las mayores tasas, por orden decreciente corresponden a: Grecia (282,2/100.000), Italia (61,0), Rumanía (61,0) y Francia (38,6).</w:t>
      </w:r>
    </w:p>
    <w:p w:rsidR="00A428F1" w:rsidRPr="00A428F1" w:rsidRDefault="00A428F1" w:rsidP="00A428F1">
      <w:pPr>
        <w:pStyle w:val="m-8680611249147048682m-876677566755566301ydpfc877f99yiv5489456229ydp862b33a5yiv1044599151ydpac2571cfyiv6423746995ydpebd1caa5yiv1230191352ydp91e1ee02yiv9745962953ydp324f4e40yiv9510911851gmail-m-7838490899217913917ydpf8eddfe8msonormal"/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t>En el caso de los 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>lactantes de 6 a 11 meses de edad</w:t>
      </w:r>
      <w:r w:rsidRPr="00A428F1">
        <w:rPr>
          <w:rFonts w:ascii="Calibri" w:hAnsi="Calibri" w:cs="Calibri"/>
          <w:color w:val="222222"/>
          <w:sz w:val="22"/>
          <w:szCs w:val="22"/>
        </w:rPr>
        <w:t> (que no han sido vacunados, ya que en todos los calendarios españoles se vacuna una vez cumplidos los 12 meses de edad), que tengan necesidad de 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>viajar con estancias prolongadas en los países citados antes de mayor riesgo</w:t>
      </w:r>
      <w:r w:rsidRPr="00A428F1">
        <w:rPr>
          <w:rFonts w:ascii="Calibri" w:hAnsi="Calibri" w:cs="Calibri"/>
          <w:color w:val="222222"/>
          <w:sz w:val="22"/>
          <w:szCs w:val="22"/>
        </w:rPr>
        <w:t> debe</w:t>
      </w:r>
      <w:r w:rsidR="007F7A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A428F1">
        <w:rPr>
          <w:rFonts w:ascii="Calibri" w:hAnsi="Calibri" w:cs="Calibri"/>
          <w:color w:val="222222"/>
          <w:sz w:val="22"/>
          <w:szCs w:val="22"/>
        </w:rPr>
        <w:t xml:space="preserve">valorarse la necesidad de recibir una dosis extra de vacuna triple vírica (sarampión, rubeola y parotiditis), al menos, 4 semanas antes del viaje. En todo caso, al cumplir los 12 meses deberán recibir una nueva dosis, la del calendario estándar, pues la recibida antes no debe contabilizarse a efectos de calendario </w:t>
      </w:r>
      <w:proofErr w:type="spellStart"/>
      <w:r w:rsidRPr="00A428F1">
        <w:rPr>
          <w:rFonts w:ascii="Calibri" w:hAnsi="Calibri" w:cs="Calibri"/>
          <w:color w:val="222222"/>
          <w:sz w:val="22"/>
          <w:szCs w:val="22"/>
        </w:rPr>
        <w:t>vacunal</w:t>
      </w:r>
      <w:proofErr w:type="spellEnd"/>
      <w:r w:rsidRPr="00A428F1">
        <w:rPr>
          <w:rFonts w:ascii="Calibri" w:hAnsi="Calibri" w:cs="Calibri"/>
          <w:color w:val="222222"/>
          <w:sz w:val="22"/>
          <w:szCs w:val="22"/>
        </w:rPr>
        <w:t>. En el caso de </w:t>
      </w:r>
      <w:r w:rsidRPr="00A428F1">
        <w:rPr>
          <w:rFonts w:ascii="Calibri" w:hAnsi="Calibri" w:cs="Calibri"/>
          <w:b/>
          <w:bCs/>
          <w:color w:val="222222"/>
          <w:sz w:val="22"/>
          <w:szCs w:val="22"/>
        </w:rPr>
        <w:t>viajes cortos -el viaje de turismo estándar- el riesgo es muy bajo y no precisaría ninguna medida especial.</w:t>
      </w:r>
    </w:p>
    <w:p w:rsidR="00A428F1" w:rsidRPr="00A428F1" w:rsidRDefault="00A428F1" w:rsidP="00A428F1">
      <w:pPr>
        <w:pStyle w:val="m-8680611249147048682m-876677566755566301ydpfc877f99yiv5489456229ydp862b33a5yiv1044599151ydpac2571cfyiv6423746995ydpebd1caa5yiv1230191352ydp91e1ee02yiv9745962953ydp324f4e40yiv9510911851gmail-m-7838490899217913917ydpf8eddfe8msonormal"/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t>Las que incluyen sarampión (triple vírica, cuyos preparados comerciales son </w:t>
      </w:r>
      <w:proofErr w:type="spellStart"/>
      <w:r w:rsidR="00A85A43" w:rsidRPr="00A428F1">
        <w:rPr>
          <w:rFonts w:ascii="Calibri" w:hAnsi="Calibri" w:cs="Calibri"/>
          <w:color w:val="222222"/>
          <w:sz w:val="22"/>
          <w:szCs w:val="22"/>
          <w:u w:val="single"/>
        </w:rPr>
        <w:fldChar w:fldCharType="begin"/>
      </w:r>
      <w:r w:rsidRPr="00A428F1">
        <w:rPr>
          <w:rFonts w:ascii="Calibri" w:hAnsi="Calibri" w:cs="Calibri"/>
          <w:color w:val="222222"/>
          <w:sz w:val="22"/>
          <w:szCs w:val="22"/>
          <w:u w:val="single"/>
        </w:rPr>
        <w:instrText xml:space="preserve"> HYPERLINK "http://vacunasaep.org/profesionales/fichas-tecnicas-vacunas/resultados?diseases=77" \t "_blank" </w:instrText>
      </w:r>
      <w:r w:rsidR="00A85A43" w:rsidRPr="00A428F1">
        <w:rPr>
          <w:rFonts w:ascii="Calibri" w:hAnsi="Calibri" w:cs="Calibri"/>
          <w:color w:val="222222"/>
          <w:sz w:val="22"/>
          <w:szCs w:val="22"/>
          <w:u w:val="single"/>
        </w:rPr>
        <w:fldChar w:fldCharType="separate"/>
      </w:r>
      <w:r w:rsidRPr="00A428F1">
        <w:rPr>
          <w:rStyle w:val="Hipervnculo"/>
          <w:rFonts w:ascii="Calibri" w:hAnsi="Calibri" w:cs="Calibri"/>
          <w:color w:val="196AD4"/>
          <w:sz w:val="22"/>
          <w:szCs w:val="22"/>
        </w:rPr>
        <w:t>Priorix</w:t>
      </w:r>
      <w:proofErr w:type="spellEnd"/>
      <w:r w:rsidRPr="00A428F1">
        <w:rPr>
          <w:rStyle w:val="Hipervnculo"/>
          <w:rFonts w:ascii="Calibri" w:hAnsi="Calibri" w:cs="Calibri"/>
          <w:color w:val="196AD4"/>
          <w:sz w:val="22"/>
          <w:szCs w:val="22"/>
        </w:rPr>
        <w:t xml:space="preserve"> y M-M-RVAXPRO</w:t>
      </w:r>
      <w:r w:rsidR="00A85A43" w:rsidRPr="00A428F1">
        <w:rPr>
          <w:rFonts w:ascii="Calibri" w:hAnsi="Calibri" w:cs="Calibri"/>
          <w:color w:val="222222"/>
          <w:sz w:val="22"/>
          <w:szCs w:val="22"/>
          <w:u w:val="single"/>
        </w:rPr>
        <w:fldChar w:fldCharType="end"/>
      </w:r>
      <w:r w:rsidRPr="00A428F1">
        <w:rPr>
          <w:rFonts w:ascii="Calibri" w:hAnsi="Calibri" w:cs="Calibri"/>
          <w:color w:val="222222"/>
          <w:sz w:val="22"/>
          <w:szCs w:val="22"/>
        </w:rPr>
        <w:t>), están autorizadas para su administración a partir de los 9 meses de edad, pero en casos excepcionales como el que se comenta en este texto, se puede emplear a partir de los 6 meses de edad, tal y como recomiendan organismos como la </w:t>
      </w:r>
      <w:hyperlink r:id="rId8" w:tgtFrame="_blank" w:history="1">
        <w:r w:rsidRPr="00A428F1">
          <w:rPr>
            <w:rStyle w:val="Hipervnculo"/>
            <w:rFonts w:ascii="Calibri" w:hAnsi="Calibri" w:cs="Calibri"/>
            <w:color w:val="196AD4"/>
            <w:sz w:val="22"/>
            <w:szCs w:val="22"/>
          </w:rPr>
          <w:t>OMS</w:t>
        </w:r>
      </w:hyperlink>
      <w:r w:rsidRPr="00A428F1">
        <w:rPr>
          <w:rFonts w:ascii="Calibri" w:hAnsi="Calibri" w:cs="Calibri"/>
          <w:color w:val="222222"/>
          <w:sz w:val="22"/>
          <w:szCs w:val="22"/>
        </w:rPr>
        <w:t> o el </w:t>
      </w:r>
      <w:hyperlink r:id="rId9" w:tgtFrame="_blank" w:history="1">
        <w:r w:rsidRPr="00A428F1">
          <w:rPr>
            <w:rStyle w:val="Hipervnculo"/>
            <w:rFonts w:ascii="Calibri" w:hAnsi="Calibri" w:cs="Calibri"/>
            <w:color w:val="196AD4"/>
            <w:sz w:val="22"/>
            <w:szCs w:val="22"/>
          </w:rPr>
          <w:t>CDC</w:t>
        </w:r>
      </w:hyperlink>
      <w:r w:rsidRPr="00A428F1">
        <w:rPr>
          <w:rFonts w:ascii="Calibri" w:hAnsi="Calibri" w:cs="Calibri"/>
          <w:color w:val="222222"/>
          <w:sz w:val="22"/>
          <w:szCs w:val="22"/>
        </w:rPr>
        <w:t>.</w:t>
      </w:r>
    </w:p>
    <w:p w:rsidR="00FC1433" w:rsidRPr="00A428F1" w:rsidRDefault="00A428F1" w:rsidP="00A428F1">
      <w:pPr>
        <w:pStyle w:val="m-8680611249147048682m-876677566755566301ydpfc877f99yiv5489456229ydp862b33a5yiv1044599151ydpac2571cfyiv6423746995ydpebd1caa5yiv1230191352ydp91e1ee02yiv9745962953ydp324f4e40yiv9510911851gmail-m-7838490899217913917ydpf8eddfe8msonormal"/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A428F1">
        <w:rPr>
          <w:rFonts w:ascii="Calibri" w:hAnsi="Calibri" w:cs="Calibri"/>
          <w:color w:val="222222"/>
          <w:sz w:val="22"/>
          <w:szCs w:val="22"/>
        </w:rPr>
        <w:lastRenderedPageBreak/>
        <w:t>La necesidad de asegurar la vacunación frente al sarampión para los viajeros por Europa ha sido recordada también por otros organismos de referencia internacional, como por ej</w:t>
      </w:r>
      <w:r w:rsidR="007F7AE2">
        <w:rPr>
          <w:rFonts w:ascii="Calibri" w:hAnsi="Calibri" w:cs="Calibri"/>
          <w:color w:val="222222"/>
          <w:sz w:val="22"/>
          <w:szCs w:val="22"/>
        </w:rPr>
        <w:t xml:space="preserve">emplo </w:t>
      </w:r>
      <w:r w:rsidRPr="00A428F1">
        <w:rPr>
          <w:rFonts w:ascii="Calibri" w:hAnsi="Calibri" w:cs="Calibri"/>
          <w:color w:val="222222"/>
          <w:sz w:val="22"/>
          <w:szCs w:val="22"/>
        </w:rPr>
        <w:t>los </w:t>
      </w:r>
      <w:hyperlink r:id="rId10" w:tgtFrame="_blank" w:history="1">
        <w:r w:rsidRPr="00A428F1">
          <w:rPr>
            <w:rStyle w:val="Hipervnculo"/>
            <w:rFonts w:ascii="Calibri" w:hAnsi="Calibri" w:cs="Calibri"/>
            <w:color w:val="196AD4"/>
            <w:sz w:val="22"/>
            <w:szCs w:val="22"/>
          </w:rPr>
          <w:t>CDC</w:t>
        </w:r>
      </w:hyperlink>
      <w:r w:rsidRPr="00A428F1">
        <w:rPr>
          <w:rFonts w:ascii="Calibri" w:hAnsi="Calibri" w:cs="Calibri"/>
          <w:color w:val="222222"/>
          <w:sz w:val="22"/>
          <w:szCs w:val="22"/>
          <w:u w:val="single"/>
        </w:rPr>
        <w:t> estadounidenses</w:t>
      </w:r>
      <w:r w:rsidRPr="00A428F1">
        <w:rPr>
          <w:rFonts w:ascii="Calibri" w:hAnsi="Calibri" w:cs="Calibri"/>
          <w:color w:val="222222"/>
          <w:sz w:val="22"/>
          <w:szCs w:val="22"/>
        </w:rPr>
        <w:t>.</w:t>
      </w:r>
    </w:p>
    <w:p w:rsidR="00DC3518" w:rsidRPr="00152A0B" w:rsidRDefault="00152A0B" w:rsidP="00FC1433">
      <w:pPr>
        <w:rPr>
          <w:b/>
          <w:sz w:val="22"/>
          <w:szCs w:val="22"/>
        </w:rPr>
      </w:pPr>
      <w:r w:rsidRPr="00152A0B">
        <w:rPr>
          <w:b/>
          <w:sz w:val="22"/>
          <w:szCs w:val="22"/>
        </w:rPr>
        <w:t xml:space="preserve">Más información: </w:t>
      </w:r>
    </w:p>
    <w:p w:rsidR="00152A0B" w:rsidRDefault="00152A0B" w:rsidP="00FC1433">
      <w:pPr>
        <w:rPr>
          <w:sz w:val="22"/>
          <w:szCs w:val="22"/>
        </w:rPr>
      </w:pPr>
      <w:hyperlink r:id="rId11" w:history="1">
        <w:r w:rsidRPr="00152A0B">
          <w:rPr>
            <w:rStyle w:val="Hipervnculo"/>
            <w:sz w:val="22"/>
            <w:szCs w:val="22"/>
          </w:rPr>
          <w:t>http://vacunasaep.org/</w:t>
        </w:r>
      </w:hyperlink>
      <w:bookmarkStart w:id="0" w:name="_GoBack"/>
      <w:bookmarkEnd w:id="0"/>
    </w:p>
    <w:p w:rsidR="00152A0B" w:rsidRDefault="00152A0B" w:rsidP="00FC1433">
      <w:pPr>
        <w:rPr>
          <w:sz w:val="22"/>
          <w:szCs w:val="22"/>
        </w:rPr>
      </w:pPr>
    </w:p>
    <w:p w:rsidR="00727646" w:rsidRPr="00727646" w:rsidRDefault="00152A0B" w:rsidP="00FC14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Contacto para prensa</w:t>
      </w:r>
      <w:r w:rsidR="00727646" w:rsidRPr="00727646">
        <w:rPr>
          <w:b/>
          <w:bCs/>
          <w:sz w:val="22"/>
          <w:szCs w:val="22"/>
        </w:rPr>
        <w:t>:</w:t>
      </w:r>
    </w:p>
    <w:p w:rsidR="00727646" w:rsidRDefault="00727646" w:rsidP="00727646">
      <w:pPr>
        <w:rPr>
          <w:sz w:val="22"/>
          <w:szCs w:val="22"/>
        </w:rPr>
      </w:pPr>
      <w:r>
        <w:rPr>
          <w:sz w:val="22"/>
          <w:szCs w:val="22"/>
        </w:rPr>
        <w:t>Mónica Llorente / María García Antúnez</w:t>
      </w:r>
    </w:p>
    <w:p w:rsidR="00727646" w:rsidRDefault="00727646" w:rsidP="00FC1433">
      <w:pPr>
        <w:rPr>
          <w:sz w:val="22"/>
          <w:szCs w:val="22"/>
        </w:rPr>
      </w:pPr>
      <w:r>
        <w:rPr>
          <w:sz w:val="22"/>
          <w:szCs w:val="22"/>
        </w:rPr>
        <w:t>636 49 94 94 / 607 14 17 60</w:t>
      </w:r>
    </w:p>
    <w:p w:rsidR="00727646" w:rsidRDefault="00152A0B" w:rsidP="00727646">
      <w:pPr>
        <w:rPr>
          <w:sz w:val="22"/>
          <w:szCs w:val="22"/>
        </w:rPr>
      </w:pPr>
      <w:hyperlink r:id="rId12" w:history="1">
        <w:r w:rsidR="00727646" w:rsidRPr="008B0BF7">
          <w:rPr>
            <w:rStyle w:val="Hipervnculo"/>
            <w:sz w:val="22"/>
            <w:szCs w:val="22"/>
          </w:rPr>
          <w:t>mllorente@plannermedia.com</w:t>
        </w:r>
      </w:hyperlink>
      <w:r w:rsidR="00727646">
        <w:rPr>
          <w:sz w:val="22"/>
          <w:szCs w:val="22"/>
        </w:rPr>
        <w:t xml:space="preserve"> / </w:t>
      </w:r>
      <w:hyperlink r:id="rId13" w:history="1">
        <w:r w:rsidR="00727646" w:rsidRPr="008B0BF7">
          <w:rPr>
            <w:rStyle w:val="Hipervnculo"/>
            <w:sz w:val="22"/>
            <w:szCs w:val="22"/>
          </w:rPr>
          <w:t>mgantunez@plannermedia.com</w:t>
        </w:r>
      </w:hyperlink>
    </w:p>
    <w:p w:rsidR="00727646" w:rsidRDefault="00727646" w:rsidP="00727646">
      <w:pPr>
        <w:rPr>
          <w:sz w:val="22"/>
          <w:szCs w:val="22"/>
        </w:rPr>
      </w:pPr>
    </w:p>
    <w:sectPr w:rsidR="00727646" w:rsidSect="00DC3518">
      <w:pgSz w:w="11900" w:h="16840"/>
      <w:pgMar w:top="662" w:right="1701" w:bottom="1417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3D2"/>
    <w:multiLevelType w:val="hybridMultilevel"/>
    <w:tmpl w:val="D0BC3460"/>
    <w:lvl w:ilvl="0" w:tplc="9334C76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3784F"/>
    <w:multiLevelType w:val="hybridMultilevel"/>
    <w:tmpl w:val="A42CDE4C"/>
    <w:lvl w:ilvl="0" w:tplc="13BA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21F2"/>
    <w:multiLevelType w:val="hybridMultilevel"/>
    <w:tmpl w:val="0492B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E523E"/>
    <w:multiLevelType w:val="hybridMultilevel"/>
    <w:tmpl w:val="D2AE06F2"/>
    <w:lvl w:ilvl="0" w:tplc="823A64E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31"/>
    <w:rsid w:val="00152A0B"/>
    <w:rsid w:val="002903E4"/>
    <w:rsid w:val="004A6035"/>
    <w:rsid w:val="00580D56"/>
    <w:rsid w:val="005B299D"/>
    <w:rsid w:val="00721A31"/>
    <w:rsid w:val="00727646"/>
    <w:rsid w:val="00792407"/>
    <w:rsid w:val="007F7AE2"/>
    <w:rsid w:val="00A428F1"/>
    <w:rsid w:val="00A85A43"/>
    <w:rsid w:val="00BF57F0"/>
    <w:rsid w:val="00C15096"/>
    <w:rsid w:val="00C23993"/>
    <w:rsid w:val="00DC3518"/>
    <w:rsid w:val="00E60A36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A31"/>
    <w:pPr>
      <w:ind w:left="720"/>
      <w:contextualSpacing/>
    </w:pPr>
  </w:style>
  <w:style w:type="paragraph" w:customStyle="1" w:styleId="m-8347373713110592103ydp30850f75yiv3309280730ydpf8eddfe8msonormal">
    <w:name w:val="m_-8347373713110592103ydp30850f75yiv3309280730ydpf8eddfe8msonormal"/>
    <w:basedOn w:val="Normal"/>
    <w:rsid w:val="00DC35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72764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727646"/>
    <w:rPr>
      <w:color w:val="605E5C"/>
      <w:shd w:val="clear" w:color="auto" w:fill="E1DFDD"/>
    </w:rPr>
  </w:style>
  <w:style w:type="paragraph" w:customStyle="1" w:styleId="m-8680611249147048682m-876677566755566301ydpfc877f99yiv5489456229ydp46c90800yiv4673579135gmail-m-7838490899217913917ydpf8eddfe8msonormal">
    <w:name w:val="m_-8680611249147048682m_-876677566755566301ydpfc877f99yiv5489456229ydp46c90800yiv4673579135gmail-m-7838490899217913917ydpf8eddfe8msonormal"/>
    <w:basedOn w:val="Normal"/>
    <w:rsid w:val="00A428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m-8680611249147048682m-876677566755566301ydpfc877f99yiv5489456229ydp862b33a5yiv1044599151ydpac2571cfyiv6423746995ydpebd1caa5yiv1230191352ydp91e1ee02yiv9745962953ydp324f4e40yiv9510911851gmail-m-7838490899217913917ydpf8eddfe8msonormal">
    <w:name w:val="m_-8680611249147048682m_-876677566755566301ydpfc877f99yiv5489456229ydp862b33a5yiv1044599151ydpac2571cfyiv6423746995ydpebd1caa5yiv1230191352ydp91e1ee02yiv9745962953ydp324f4e40yiv9510911851gmail-m-7838490899217913917ydpf8eddfe8msonormal"/>
    <w:basedOn w:val="Normal"/>
    <w:rsid w:val="00A428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A31"/>
    <w:pPr>
      <w:ind w:left="720"/>
      <w:contextualSpacing/>
    </w:pPr>
  </w:style>
  <w:style w:type="paragraph" w:customStyle="1" w:styleId="m-8347373713110592103ydp30850f75yiv3309280730ydpf8eddfe8msonormal">
    <w:name w:val="m_-8347373713110592103ydp30850f75yiv3309280730ydpf8eddfe8msonormal"/>
    <w:basedOn w:val="Normal"/>
    <w:rsid w:val="00DC35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72764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727646"/>
    <w:rPr>
      <w:color w:val="605E5C"/>
      <w:shd w:val="clear" w:color="auto" w:fill="E1DFDD"/>
    </w:rPr>
  </w:style>
  <w:style w:type="paragraph" w:customStyle="1" w:styleId="m-8680611249147048682m-876677566755566301ydpfc877f99yiv5489456229ydp46c90800yiv4673579135gmail-m-7838490899217913917ydpf8eddfe8msonormal">
    <w:name w:val="m_-8680611249147048682m_-876677566755566301ydpfc877f99yiv5489456229ydp46c90800yiv4673579135gmail-m-7838490899217913917ydpf8eddfe8msonormal"/>
    <w:basedOn w:val="Normal"/>
    <w:rsid w:val="00A428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m-8680611249147048682m-876677566755566301ydpfc877f99yiv5489456229ydp862b33a5yiv1044599151ydpac2571cfyiv6423746995ydpebd1caa5yiv1230191352ydp91e1ee02yiv9745962953ydp324f4e40yiv9510911851gmail-m-7838490899217913917ydpf8eddfe8msonormal">
    <w:name w:val="m_-8680611249147048682m_-876677566755566301ydpfc877f99yiv5489456229ydp862b33a5yiv1044599151ydpac2571cfyiv6423746995ydpebd1caa5yiv1230191352ydp91e1ee02yiv9745962953ydp324f4e40yiv9510911851gmail-m-7838490899217913917ydpf8eddfe8msonormal"/>
    <w:basedOn w:val="Normal"/>
    <w:rsid w:val="00A428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iris/bitstream/handle/10665/255149/WER9217.pdf;jsessionid=E1815623B08E4A12412FA2312CE676B2?sequence=1" TargetMode="External"/><Relationship Id="rId13" Type="http://schemas.openxmlformats.org/officeDocument/2006/relationships/hyperlink" Target="mailto:mgantunez@plannermedi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dc.europa.eu/sites/portal/files/documents/Monthly-Measles-Rubella-monitoring-report-July-2018-1.pdf" TargetMode="External"/><Relationship Id="rId12" Type="http://schemas.openxmlformats.org/officeDocument/2006/relationships/hyperlink" Target="mailto:mllorente@planner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acunasaep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c.gov/media/releases/2017/p0719-europe-meas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nc.cdc.gov/travel/diseases/meas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ibai garay</dc:creator>
  <cp:lastModifiedBy>MariaGar</cp:lastModifiedBy>
  <cp:revision>2</cp:revision>
  <dcterms:created xsi:type="dcterms:W3CDTF">2018-07-26T08:35:00Z</dcterms:created>
  <dcterms:modified xsi:type="dcterms:W3CDTF">2018-07-26T08:35:00Z</dcterms:modified>
</cp:coreProperties>
</file>